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</w:p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烟台开发区福莱山街道办事处</w:t>
      </w:r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pStyle w:val="5"/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drawing>
          <wp:inline distT="0" distB="0" distL="114300" distR="114300">
            <wp:extent cx="3618865" cy="3618865"/>
            <wp:effectExtent l="0" t="0" r="635" b="63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</w:p>
    <w:p>
      <w:pPr>
        <w:pStyle w:val="5"/>
        <w:widowControl/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</w:p>
    <w:p>
      <w:pPr>
        <w:pStyle w:val="5"/>
        <w:widowControl/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烟台经济技术开发区福莱山街道办事处</w:t>
      </w:r>
    </w:p>
    <w:p>
      <w:pPr>
        <w:pStyle w:val="5"/>
        <w:widowControl/>
        <w:spacing w:line="240" w:lineRule="auto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1 月</w:t>
      </w:r>
    </w:p>
    <w:p>
      <w:pPr>
        <w:pStyle w:val="5"/>
        <w:spacing w:line="560" w:lineRule="exact"/>
        <w:ind w:firstLine="632" w:firstLineChars="200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pStyle w:val="5"/>
        <w:spacing w:line="560" w:lineRule="exact"/>
        <w:ind w:firstLine="872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告六大板块</w:t>
      </w:r>
    </w:p>
    <w:p>
      <w:pPr>
        <w:pStyle w:val="5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614035" cy="3503930"/>
            <wp:effectExtent l="0" t="0" r="5715" b="127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560" w:lineRule="exact"/>
        <w:ind w:firstLine="632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一、总体情况</w:t>
      </w:r>
    </w:p>
    <w:p>
      <w:pPr>
        <w:pStyle w:val="5"/>
        <w:spacing w:line="560" w:lineRule="exact"/>
        <w:ind w:firstLine="632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1.主动公开情况</w:t>
      </w:r>
    </w:p>
    <w:p>
      <w:pPr>
        <w:pStyle w:val="5"/>
        <w:spacing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新修订的《中华人民共和国政府信息公开条例》精神，福莱山街道办事处坚持以促进依法行政、改进工作作风、增强街道工作透明度为重点，以公开、公正、便民和廉政、勤政为目的，积极探索,大胆实践,扎实推进政务公开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本报告由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主动公开政府信息情况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收到和处理政府信息公开申请情况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，政府信息公开行政复议、行政诉讼情况，存在的主要问题及改进情况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，其他需要报告的事项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等共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部分组成。本报告中所列数据的统计期限自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年12月31日止。本报告的电子版可在开发区业达网站（http://www.yeda.gov.cn/）“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信息公开年报</w:t>
      </w:r>
      <w:r>
        <w:rPr>
          <w:rFonts w:hint="eastAsia" w:ascii="仿宋_GB2312" w:hAnsi="仿宋_GB2312" w:eastAsia="仿宋_GB2312" w:cs="仿宋_GB2312"/>
          <w:sz w:val="32"/>
          <w:szCs w:val="32"/>
        </w:rPr>
        <w:t>”栏目下载。如对本报告有任何疑问，请与烟台开发区福莱山街道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党政办公室联系（地址：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泰山路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福莱山街道办事处主楼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楼；邮编：264006；电话：0535-6376775；传真：0535-6386503；电子邮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"mailto:flsjd@yt.shandong.cn）。"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f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lsjd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@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yt.shandong.cn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pStyle w:val="5"/>
        <w:spacing w:line="560" w:lineRule="exact"/>
        <w:ind w:firstLine="632" w:firstLineChars="2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2.依申请公开工作情况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730" w:firstLineChars="231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新修订的《中华人民共和国政府信息公开条例》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第四章依申请公开部分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第二十七条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行政机关主动公开的政府信息外，公民、法人或者其他组织可以向地方各级人民政府、对外以自己名义履行行政管理职能的县级以上人民政府部门（含本条例第十条第二款规定的派出机构、内设机构）申请获取相关政府信息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2020年度福莱山街道共回复依申请公开信件1次，与去年相比数量增加1件。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2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Chars="231" w:right="0" w:right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3.政府信息管理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32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年度共公开《福莱山街道办事处就业领域基层政务公开标准目录》、《福莱山街道办事处社会保险领域基层政务公开标准目录》、《福莱山街道办事处公共文化服务领域基层政务公开标准目录》等7项标准目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2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Chars="231" w:right="0" w:right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4.重点领域信息公开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32" w:firstLineChars="20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根据新修订的《中华人民共和国政府信息公开条例》第二十条第（十）条“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重大建设项目的批准和实施情况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”共公开8项目信息。</w:t>
      </w:r>
    </w:p>
    <w:p>
      <w:pPr>
        <w:pStyle w:val="5"/>
        <w:spacing w:line="560" w:lineRule="exact"/>
        <w:ind w:firstLine="632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二、主动公开政府信息情况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8"/>
        <w:gridCol w:w="2147"/>
        <w:gridCol w:w="1468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本年新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制作数量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本年新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本年增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本年增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本年增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" w:lineRule="atLeas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spacing w:line="560" w:lineRule="exact"/>
        <w:ind w:firstLine="632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698"/>
        <w:gridCol w:w="2156"/>
        <w:gridCol w:w="964"/>
        <w:gridCol w:w="757"/>
        <w:gridCol w:w="765"/>
        <w:gridCol w:w="915"/>
        <w:gridCol w:w="90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34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723" w:type="dxa"/>
            <w:gridSpan w:val="7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34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宋体" w:eastAsia="黑体" w:cs="宋体"/>
                <w:color w:val="000000"/>
                <w:sz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自然人</w:t>
            </w:r>
          </w:p>
        </w:tc>
        <w:tc>
          <w:tcPr>
            <w:tcW w:w="4057" w:type="dxa"/>
            <w:gridSpan w:val="5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34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宋体" w:eastAsia="黑体" w:cs="宋体"/>
                <w:color w:val="000000"/>
                <w:sz w:val="24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宋体" w:eastAsia="黑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科研机构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社会公益组织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一、本年新收政府信息公开申请数量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二、上年结转政府信息公开申请数量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三、本年度办理结果</w:t>
            </w:r>
          </w:p>
        </w:tc>
        <w:tc>
          <w:tcPr>
            <w:tcW w:w="2854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楷体" w:cs="楷体"/>
                <w:color w:val="000000"/>
                <w:sz w:val="24"/>
              </w:rPr>
              <w:t>（一）予以公开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楷体" w:cs="楷体"/>
                <w:color w:val="00000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cs="楷体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(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三</w:t>
            </w:r>
            <w:r>
              <w:rPr>
                <w:rFonts w:ascii="仿宋_GB2312" w:hAnsi="楷体" w:cs="楷体"/>
                <w:color w:val="000000"/>
                <w:sz w:val="24"/>
              </w:rPr>
              <w:t>)</w:t>
            </w:r>
          </w:p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楷体" w:cs="楷体"/>
                <w:color w:val="000000"/>
                <w:sz w:val="24"/>
              </w:rPr>
              <w:t>不予公开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1.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属于国家秘密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2.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其他法律行政法规禁止公开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 w:hAnsi="楷体" w:cs="楷体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3.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危</w:t>
            </w:r>
            <w:r>
              <w:rPr>
                <w:rFonts w:hint="eastAsia" w:ascii="仿宋_GB2312" w:hAnsi="楷体" w:cs="楷体"/>
                <w:color w:val="000000"/>
                <w:spacing w:val="-16"/>
                <w:sz w:val="24"/>
              </w:rPr>
              <w:t>及“三安全一稳定”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4.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保</w:t>
            </w:r>
            <w:r>
              <w:rPr>
                <w:rFonts w:hint="eastAsia" w:ascii="仿宋_GB2312" w:hAnsi="楷体" w:cs="楷体"/>
                <w:color w:val="000000"/>
                <w:spacing w:val="-20"/>
                <w:sz w:val="24"/>
              </w:rPr>
              <w:t>护第三方合法权益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5.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属于三类内部事务信息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6.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属</w:t>
            </w:r>
            <w:r>
              <w:rPr>
                <w:rFonts w:hint="eastAsia" w:ascii="仿宋_GB2312" w:hAnsi="楷体" w:cs="楷体"/>
                <w:color w:val="000000"/>
                <w:spacing w:val="-18"/>
                <w:sz w:val="24"/>
              </w:rPr>
              <w:t>于四类过程性信息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7.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属</w:t>
            </w:r>
            <w:r>
              <w:rPr>
                <w:rFonts w:hint="eastAsia" w:ascii="仿宋_GB2312" w:hAnsi="楷体" w:cs="楷体"/>
                <w:color w:val="000000"/>
                <w:spacing w:val="-16"/>
                <w:sz w:val="24"/>
              </w:rPr>
              <w:t>于行政执法案卷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8.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属</w:t>
            </w:r>
            <w:r>
              <w:rPr>
                <w:rFonts w:hint="eastAsia" w:ascii="仿宋_GB2312" w:hAnsi="楷体" w:cs="楷体"/>
                <w:color w:val="000000"/>
                <w:spacing w:val="-16"/>
                <w:sz w:val="24"/>
              </w:rPr>
              <w:t>于行政查询事项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(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四</w:t>
            </w:r>
            <w:r>
              <w:rPr>
                <w:rFonts w:ascii="仿宋_GB2312" w:hAnsi="楷体" w:cs="楷体"/>
                <w:color w:val="000000"/>
                <w:sz w:val="24"/>
              </w:rPr>
              <w:t>)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无法提供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1.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本机关不掌握相关政府信息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2.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没有现成信息需要另行制作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3.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补正后申请内容仍不明确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(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五</w:t>
            </w:r>
            <w:r>
              <w:rPr>
                <w:rFonts w:ascii="仿宋_GB2312" w:hAnsi="楷体" w:cs="楷体"/>
                <w:color w:val="000000"/>
                <w:sz w:val="24"/>
              </w:rPr>
              <w:t>)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不予处理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1.</w:t>
            </w:r>
            <w:r>
              <w:rPr>
                <w:rFonts w:hint="eastAsia" w:ascii="仿宋_GB2312" w:hAnsi="楷体" w:cs="楷体"/>
                <w:color w:val="000000"/>
                <w:spacing w:val="-20"/>
                <w:sz w:val="24"/>
              </w:rPr>
              <w:t>信访举报投诉类申请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2.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重复申请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pacing w:val="-18"/>
                <w:sz w:val="24"/>
              </w:rPr>
            </w:pPr>
            <w:r>
              <w:rPr>
                <w:rFonts w:ascii="仿宋_GB2312" w:hAnsi="楷体" w:cs="楷体"/>
                <w:color w:val="000000"/>
                <w:spacing w:val="-18"/>
                <w:sz w:val="24"/>
              </w:rPr>
              <w:t>3.</w:t>
            </w:r>
            <w:r>
              <w:rPr>
                <w:rFonts w:hint="eastAsia" w:ascii="仿宋_GB2312" w:hAnsi="楷体" w:cs="楷体"/>
                <w:color w:val="000000"/>
                <w:spacing w:val="-18"/>
                <w:sz w:val="24"/>
              </w:rPr>
              <w:t>要求提供公开出版物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4.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无正当理由大量反复申请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楷体" w:cs="楷体"/>
                <w:color w:val="000000"/>
                <w:sz w:val="24"/>
              </w:rPr>
              <w:t>5.</w:t>
            </w:r>
            <w:r>
              <w:rPr>
                <w:rFonts w:hint="eastAsia" w:ascii="仿宋_GB2312" w:hAnsi="楷体" w:cs="楷体"/>
                <w:color w:val="000000"/>
                <w:sz w:val="24"/>
              </w:rPr>
              <w:t>要</w:t>
            </w:r>
            <w:r>
              <w:rPr>
                <w:rFonts w:hint="eastAsia" w:ascii="仿宋_GB2312" w:hAnsi="楷体" w:cs="楷体"/>
                <w:color w:val="000000"/>
                <w:spacing w:val="-12"/>
                <w:sz w:val="24"/>
              </w:rPr>
              <w:t>求行政机关确认或重新出具已获取信息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楷体" w:cs="楷体"/>
                <w:color w:val="000000"/>
                <w:sz w:val="24"/>
              </w:rPr>
              <w:t>（六）其他处理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854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楷体" w:cs="楷体"/>
                <w:color w:val="000000"/>
                <w:sz w:val="24"/>
              </w:rPr>
              <w:t>（七）总计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四、结转下年度继续办理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宋体" w:hAnsi="宋体" w:eastAsia="黑体" w:cs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宋体" w:hAnsi="宋体" w:eastAsia="黑体" w:cs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宋体" w:hAnsi="宋体" w:eastAsia="黑体" w:cs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宋体" w:hAnsi="宋体" w:eastAsia="黑体" w:cs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ind w:left="-94" w:leftChars="-30" w:right="-94" w:rightChars="-30"/>
              <w:jc w:val="left"/>
              <w:rPr>
                <w:rFonts w:ascii="宋体" w:hAnsi="宋体" w:eastAsia="黑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30" w:right="-94" w:rightChars="-3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632" w:firstLineChars="200"/>
        <w:jc w:val="both"/>
        <w:textAlignment w:val="auto"/>
        <w:outlineLvl w:val="9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目前，我处在政府信息公开范围、公开形式、基础性工作等方面仍存在不足，下一步将重点做好以下三方面工作：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（一）进一步加强领导。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要全面落实政务公开第一责任人的职责,切实把政务公开工作作为一项基本制度,纳入年度工作目标体系中。要充分发挥政务公开领导小组的作用,推动政务公开工作的深入开展。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（二）强化监督检查。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进一步完善监督检查制度,严格按照考核标准,加强对各科室、村居、社区政务公开工作的督促检查,并将检查结果及时进行通报,确保街道政务公开工作落到实处。同时,要严格执行责任追究制度,对不公开、假公开、应该公开没有全部公开等违规违纪行为,坚决予以责任追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（三）进一步加大宣传力度。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利用各种渠道,采取多种形式，向辖区居民和广大群众深入宣传政务公开工作的重要意义,宣传工作中的典型事例,努力形成各级干部大力抓政务公开、群众积极关心政务公开的社会氛围。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六、其他需要报告的事项</w:t>
      </w:r>
    </w:p>
    <w:p>
      <w:pPr>
        <w:jc w:val="left"/>
        <w:rPr>
          <w:rFonts w:hint="default" w:asci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cs="仿宋_GB2312"/>
          <w:color w:val="000000"/>
          <w:lang w:val="en-US" w:eastAsia="zh-CN"/>
        </w:rPr>
        <w:t xml:space="preserve">    2020年度我处无其他需要报告的事项。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="宋体" w:hAnsi="宋体" w:eastAsia="宋体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7484"/>
    <w:rsid w:val="001C4247"/>
    <w:rsid w:val="001E52B5"/>
    <w:rsid w:val="002802D6"/>
    <w:rsid w:val="002A5578"/>
    <w:rsid w:val="004E766D"/>
    <w:rsid w:val="005F00C4"/>
    <w:rsid w:val="008527AE"/>
    <w:rsid w:val="00932674"/>
    <w:rsid w:val="00B20E15"/>
    <w:rsid w:val="00D00A87"/>
    <w:rsid w:val="00D0796F"/>
    <w:rsid w:val="00F32CD4"/>
    <w:rsid w:val="02F546DB"/>
    <w:rsid w:val="06ED5D92"/>
    <w:rsid w:val="0AB860CA"/>
    <w:rsid w:val="0CC46526"/>
    <w:rsid w:val="114957E5"/>
    <w:rsid w:val="12F87484"/>
    <w:rsid w:val="1B9C44BD"/>
    <w:rsid w:val="21106B42"/>
    <w:rsid w:val="294154C5"/>
    <w:rsid w:val="295B1C08"/>
    <w:rsid w:val="29C603DF"/>
    <w:rsid w:val="37C22BA4"/>
    <w:rsid w:val="3BC208A8"/>
    <w:rsid w:val="3E120530"/>
    <w:rsid w:val="46A7227D"/>
    <w:rsid w:val="4A351C02"/>
    <w:rsid w:val="4B5D41E6"/>
    <w:rsid w:val="4C920A0C"/>
    <w:rsid w:val="4EF66949"/>
    <w:rsid w:val="4F93551C"/>
    <w:rsid w:val="53AF49A2"/>
    <w:rsid w:val="62CE7F6D"/>
    <w:rsid w:val="6AF211F2"/>
    <w:rsid w:val="75BB6AF1"/>
    <w:rsid w:val="7AE65BD9"/>
    <w:rsid w:val="7BE1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24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000000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00"/>
      <w:u w:val="none"/>
    </w:rPr>
  </w:style>
  <w:style w:type="character" w:styleId="11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customStyle="1" w:styleId="12">
    <w:name w:val="bg02"/>
    <w:basedOn w:val="7"/>
    <w:qFormat/>
    <w:uiPriority w:val="99"/>
    <w:rPr>
      <w:rFonts w:cs="Times New Roman"/>
    </w:rPr>
  </w:style>
  <w:style w:type="character" w:customStyle="1" w:styleId="13">
    <w:name w:val="hover23"/>
    <w:basedOn w:val="7"/>
    <w:qFormat/>
    <w:uiPriority w:val="99"/>
    <w:rPr>
      <w:rFonts w:cs="Times New Roman"/>
      <w:color w:val="015293"/>
    </w:rPr>
  </w:style>
  <w:style w:type="character" w:customStyle="1" w:styleId="14">
    <w:name w:val="name"/>
    <w:basedOn w:val="7"/>
    <w:qFormat/>
    <w:uiPriority w:val="99"/>
    <w:rPr>
      <w:rFonts w:cs="Times New Roman"/>
      <w:color w:val="6A6A6A"/>
      <w:u w:val="single"/>
    </w:rPr>
  </w:style>
  <w:style w:type="character" w:customStyle="1" w:styleId="15">
    <w:name w:val="dates"/>
    <w:basedOn w:val="7"/>
    <w:qFormat/>
    <w:uiPriority w:val="99"/>
    <w:rPr>
      <w:rFonts w:cs="Times New Roman"/>
    </w:rPr>
  </w:style>
  <w:style w:type="character" w:customStyle="1" w:styleId="16">
    <w:name w:val="m01"/>
    <w:basedOn w:val="7"/>
    <w:qFormat/>
    <w:uiPriority w:val="99"/>
    <w:rPr>
      <w:rFonts w:cs="Times New Roman"/>
    </w:rPr>
  </w:style>
  <w:style w:type="character" w:customStyle="1" w:styleId="17">
    <w:name w:val="m011"/>
    <w:basedOn w:val="7"/>
    <w:qFormat/>
    <w:uiPriority w:val="99"/>
    <w:rPr>
      <w:rFonts w:cs="Times New Roman"/>
    </w:rPr>
  </w:style>
  <w:style w:type="character" w:customStyle="1" w:styleId="18">
    <w:name w:val="gwds_nopic"/>
    <w:basedOn w:val="7"/>
    <w:qFormat/>
    <w:uiPriority w:val="99"/>
    <w:rPr>
      <w:rFonts w:cs="Times New Roman"/>
    </w:rPr>
  </w:style>
  <w:style w:type="character" w:customStyle="1" w:styleId="19">
    <w:name w:val="font2"/>
    <w:basedOn w:val="7"/>
    <w:qFormat/>
    <w:uiPriority w:val="99"/>
    <w:rPr>
      <w:rFonts w:cs="Times New Roman"/>
    </w:rPr>
  </w:style>
  <w:style w:type="character" w:customStyle="1" w:styleId="20">
    <w:name w:val="font3"/>
    <w:basedOn w:val="7"/>
    <w:qFormat/>
    <w:uiPriority w:val="99"/>
    <w:rPr>
      <w:rFonts w:cs="Times New Roman"/>
    </w:rPr>
  </w:style>
  <w:style w:type="character" w:customStyle="1" w:styleId="21">
    <w:name w:val="more4"/>
    <w:basedOn w:val="7"/>
    <w:qFormat/>
    <w:uiPriority w:val="99"/>
    <w:rPr>
      <w:rFonts w:cs="Times New Roman"/>
      <w:color w:val="666666"/>
      <w:sz w:val="18"/>
      <w:szCs w:val="18"/>
    </w:rPr>
  </w:style>
  <w:style w:type="character" w:customStyle="1" w:styleId="22">
    <w:name w:val="tabg"/>
    <w:basedOn w:val="7"/>
    <w:qFormat/>
    <w:uiPriority w:val="99"/>
    <w:rPr>
      <w:rFonts w:cs="Times New Roman"/>
      <w:color w:val="FFFFFF"/>
      <w:sz w:val="27"/>
      <w:szCs w:val="27"/>
    </w:rPr>
  </w:style>
  <w:style w:type="character" w:customStyle="1" w:styleId="23">
    <w:name w:val="bg01"/>
    <w:basedOn w:val="7"/>
    <w:qFormat/>
    <w:uiPriority w:val="99"/>
    <w:rPr>
      <w:rFonts w:cs="Times New Roman"/>
    </w:rPr>
  </w:style>
  <w:style w:type="character" w:customStyle="1" w:styleId="24">
    <w:name w:val="laypage_curr"/>
    <w:basedOn w:val="7"/>
    <w:qFormat/>
    <w:uiPriority w:val="99"/>
    <w:rPr>
      <w:rFonts w:cs="Times New Roman"/>
      <w:color w:val="FFFDF4"/>
      <w:shd w:val="clear" w:color="auto" w:fill="0B67A6"/>
    </w:rPr>
  </w:style>
  <w:style w:type="character" w:customStyle="1" w:styleId="25">
    <w:name w:val="Footer Char"/>
    <w:basedOn w:val="7"/>
    <w:link w:val="3"/>
    <w:semiHidden/>
    <w:qFormat/>
    <w:uiPriority w:val="99"/>
    <w:rPr>
      <w:rFonts w:ascii="Calibri" w:hAnsi="Calibri" w:eastAsia="仿宋_GB2312"/>
      <w:sz w:val="18"/>
      <w:szCs w:val="18"/>
    </w:rPr>
  </w:style>
  <w:style w:type="character" w:customStyle="1" w:styleId="26">
    <w:name w:val="Header Char"/>
    <w:basedOn w:val="7"/>
    <w:link w:val="4"/>
    <w:semiHidden/>
    <w:qFormat/>
    <w:uiPriority w:val="99"/>
    <w:rPr>
      <w:rFonts w:ascii="Calibri" w:hAnsi="Calibri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972</Words>
  <Characters>1005</Characters>
  <Lines>0</Lines>
  <Paragraphs>0</Paragraphs>
  <TotalTime>3</TotalTime>
  <ScaleCrop>false</ScaleCrop>
  <LinksUpToDate>false</LinksUpToDate>
  <CharactersWithSpaces>1025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2019-12-26T02:49:00Z</dcterms:created>
  <dc:creator>诗人与熊</dc:creator>
  <cp:lastModifiedBy>Administrator</cp:lastModifiedBy>
  <cp:lastPrinted>2019-12-30T04:07:00Z</cp:lastPrinted>
  <dcterms:modified xsi:type="dcterms:W3CDTF">2021-02-21T14:38:42Z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