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52B" w:rsidRPr="008B252B" w:rsidRDefault="008B252B" w:rsidP="008B252B">
      <w:pPr>
        <w:shd w:val="clear" w:color="auto" w:fill="FFFFFF"/>
        <w:adjustRightInd/>
        <w:snapToGrid/>
        <w:spacing w:after="0" w:line="420" w:lineRule="atLeast"/>
        <w:ind w:firstLine="480"/>
        <w:jc w:val="center"/>
        <w:textAlignment w:val="baseline"/>
        <w:rPr>
          <w:rFonts w:asciiTheme="minorEastAsia" w:eastAsiaTheme="minorEastAsia" w:hAnsiTheme="minorEastAsia" w:cs="宋体"/>
          <w:color w:val="404040"/>
          <w:sz w:val="44"/>
          <w:szCs w:val="44"/>
        </w:rPr>
      </w:pPr>
      <w:r w:rsidRPr="008B252B">
        <w:rPr>
          <w:rFonts w:asciiTheme="minorEastAsia" w:eastAsiaTheme="minorEastAsia" w:hAnsiTheme="minorEastAsia" w:cs="宋体" w:hint="eastAsia"/>
          <w:color w:val="404040"/>
          <w:sz w:val="44"/>
          <w:szCs w:val="44"/>
        </w:rPr>
        <w:t>烟台市公安局经济技术开发区分局</w:t>
      </w:r>
    </w:p>
    <w:p w:rsidR="008B252B" w:rsidRPr="008B252B" w:rsidRDefault="008B252B" w:rsidP="008B252B">
      <w:pPr>
        <w:shd w:val="clear" w:color="auto" w:fill="FFFFFF"/>
        <w:adjustRightInd/>
        <w:snapToGrid/>
        <w:spacing w:after="0" w:line="420" w:lineRule="atLeast"/>
        <w:ind w:firstLine="480"/>
        <w:jc w:val="center"/>
        <w:textAlignment w:val="baseline"/>
        <w:rPr>
          <w:rFonts w:asciiTheme="minorEastAsia" w:eastAsiaTheme="minorEastAsia" w:hAnsiTheme="minorEastAsia" w:cs="宋体" w:hint="eastAsia"/>
          <w:color w:val="404040"/>
          <w:sz w:val="44"/>
          <w:szCs w:val="44"/>
        </w:rPr>
      </w:pPr>
      <w:r w:rsidRPr="008B252B">
        <w:rPr>
          <w:rFonts w:asciiTheme="minorEastAsia" w:eastAsiaTheme="minorEastAsia" w:hAnsiTheme="minorEastAsia" w:cs="宋体" w:hint="eastAsia"/>
          <w:color w:val="404040"/>
          <w:sz w:val="44"/>
          <w:szCs w:val="44"/>
        </w:rPr>
        <w:t>行政执法主体资格清单</w:t>
      </w:r>
    </w:p>
    <w:tbl>
      <w:tblPr>
        <w:tblW w:w="9420" w:type="dxa"/>
        <w:jc w:val="center"/>
        <w:shd w:val="clear" w:color="auto" w:fill="FFFFFF"/>
        <w:tblCellMar>
          <w:left w:w="0" w:type="dxa"/>
          <w:right w:w="0" w:type="dxa"/>
        </w:tblCellMar>
        <w:tblLook w:val="04A0"/>
      </w:tblPr>
      <w:tblGrid>
        <w:gridCol w:w="1380"/>
        <w:gridCol w:w="5475"/>
        <w:gridCol w:w="660"/>
        <w:gridCol w:w="1905"/>
      </w:tblGrid>
      <w:tr w:rsidR="008B252B" w:rsidRPr="008B252B" w:rsidTr="008B252B">
        <w:trPr>
          <w:trHeight w:val="975"/>
          <w:jc w:val="center"/>
        </w:trPr>
        <w:tc>
          <w:tcPr>
            <w:tcW w:w="1380" w:type="dxa"/>
            <w:tcBorders>
              <w:top w:val="single" w:sz="6" w:space="0" w:color="auto"/>
              <w:left w:val="single" w:sz="6" w:space="0" w:color="auto"/>
              <w:bottom w:val="single" w:sz="6" w:space="0" w:color="000000"/>
              <w:right w:val="single" w:sz="6" w:space="0" w:color="000000"/>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单位全称</w:t>
            </w:r>
          </w:p>
        </w:tc>
        <w:tc>
          <w:tcPr>
            <w:tcW w:w="8040" w:type="dxa"/>
            <w:gridSpan w:val="3"/>
            <w:tcBorders>
              <w:top w:val="single" w:sz="6" w:space="0" w:color="auto"/>
              <w:left w:val="nil"/>
              <w:bottom w:val="single" w:sz="6" w:space="0" w:color="000000"/>
              <w:right w:val="single" w:sz="6" w:space="0" w:color="auto"/>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烟台市公安局经济技术开发区分局</w:t>
            </w:r>
          </w:p>
        </w:tc>
      </w:tr>
      <w:tr w:rsidR="008B252B" w:rsidRPr="008B252B" w:rsidTr="008B252B">
        <w:trPr>
          <w:trHeight w:val="85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办公地址</w:t>
            </w:r>
          </w:p>
        </w:tc>
        <w:tc>
          <w:tcPr>
            <w:tcW w:w="54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烟台开发区长江路66号</w:t>
            </w:r>
          </w:p>
        </w:tc>
        <w:tc>
          <w:tcPr>
            <w:tcW w:w="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邮编</w:t>
            </w:r>
          </w:p>
        </w:tc>
        <w:tc>
          <w:tcPr>
            <w:tcW w:w="1905" w:type="dxa"/>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2640006</w:t>
            </w:r>
          </w:p>
        </w:tc>
      </w:tr>
      <w:tr w:rsidR="008B252B" w:rsidRPr="008B252B" w:rsidTr="008B252B">
        <w:trPr>
          <w:trHeight w:val="840"/>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机构性质</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√行政机关   □事业单位     □内设机构   □临时机构       □其他</w:t>
            </w:r>
          </w:p>
        </w:tc>
      </w:tr>
      <w:tr w:rsidR="008B252B" w:rsidRPr="008B252B" w:rsidTr="008B252B">
        <w:trPr>
          <w:trHeight w:val="1140"/>
          <w:jc w:val="center"/>
        </w:trPr>
        <w:tc>
          <w:tcPr>
            <w:tcW w:w="138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执法主体</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类别</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√法定行政机关          □法律、法规授权的组织</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□依法受委托执法的组织   </w:t>
            </w:r>
          </w:p>
        </w:tc>
      </w:tr>
      <w:tr w:rsidR="008B252B" w:rsidRPr="008B252B" w:rsidTr="008B252B">
        <w:trPr>
          <w:trHeight w:val="109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执法职权</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类型</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√行政许可    √行政处罚  √行政强制  □行政征收</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□行政征用    □行政确认  □其他行政执法行为                 </w:t>
            </w:r>
          </w:p>
        </w:tc>
      </w:tr>
      <w:tr w:rsidR="008B252B" w:rsidRPr="008B252B" w:rsidTr="008B252B">
        <w:trPr>
          <w:trHeight w:val="870"/>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经费来源</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√财政全额拨款   □财政差额拨款   □自收自支   □其他       </w:t>
            </w:r>
          </w:p>
        </w:tc>
      </w:tr>
      <w:tr w:rsidR="008B252B" w:rsidRPr="008B252B" w:rsidTr="008B252B">
        <w:trPr>
          <w:trHeight w:val="3897"/>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执法依据</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1、《治安管理处罚法》第二条：“扰乱公共秩序，妨害公共安全，侵犯人身权利、财产权利，妨害社会管理，具有社会危害性，依照《刑法》的规定构成犯罪的，依法追究刑事责任；尚不构成刑事处罚的，由公安机关依照本法给予治安管理处罚”   。</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2、《行政许可法》第二十二条：“行政许可由具有行政许可权的行政机关在其法定职权范围内实施”。</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3、《行政强制法》第十七条第二款：“依据《行政处罚法》的规定行使相对集中行政处罚权的行政机关，可以实施法律、法规规定的与行政处罚权有关的行政强制措施”。</w:t>
            </w:r>
          </w:p>
        </w:tc>
      </w:tr>
      <w:tr w:rsidR="008B252B" w:rsidRPr="008B252B" w:rsidTr="008B252B">
        <w:trPr>
          <w:trHeight w:val="1155"/>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备注</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rPr>
                <w:rFonts w:ascii="微软雅黑" w:hAnsi="微软雅黑" w:cs="宋体"/>
                <w:color w:val="404040"/>
                <w:sz w:val="24"/>
                <w:szCs w:val="24"/>
              </w:rPr>
            </w:pPr>
          </w:p>
        </w:tc>
      </w:tr>
      <w:tr w:rsidR="008B252B" w:rsidRPr="008B252B" w:rsidTr="008B252B">
        <w:trPr>
          <w:trHeight w:val="1155"/>
          <w:jc w:val="center"/>
        </w:trPr>
        <w:tc>
          <w:tcPr>
            <w:tcW w:w="1380" w:type="dxa"/>
            <w:tcBorders>
              <w:top w:val="nil"/>
              <w:left w:val="single" w:sz="6" w:space="0" w:color="auto"/>
              <w:bottom w:val="single" w:sz="6" w:space="0" w:color="auto"/>
              <w:right w:val="single" w:sz="6" w:space="0" w:color="000000"/>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单位全称</w:t>
            </w:r>
          </w:p>
        </w:tc>
        <w:tc>
          <w:tcPr>
            <w:tcW w:w="8040" w:type="dxa"/>
            <w:gridSpan w:val="3"/>
            <w:tcBorders>
              <w:top w:val="nil"/>
              <w:left w:val="nil"/>
              <w:bottom w:val="single" w:sz="6" w:space="0" w:color="auto"/>
              <w:right w:val="single" w:sz="6" w:space="0" w:color="auto"/>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烟台市公安局经济技术开发区分局交警大队</w:t>
            </w:r>
          </w:p>
        </w:tc>
      </w:tr>
      <w:tr w:rsidR="008B252B" w:rsidRPr="008B252B" w:rsidTr="008B252B">
        <w:trPr>
          <w:trHeight w:val="70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lastRenderedPageBreak/>
              <w:t>办公地址</w:t>
            </w:r>
          </w:p>
        </w:tc>
        <w:tc>
          <w:tcPr>
            <w:tcW w:w="54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烟台开发区</w:t>
            </w:r>
            <w:r>
              <w:rPr>
                <w:rFonts w:ascii="微软雅黑" w:hAnsi="微软雅黑" w:cs="宋体" w:hint="eastAsia"/>
                <w:sz w:val="24"/>
                <w:szCs w:val="24"/>
              </w:rPr>
              <w:t>衡阳路7</w:t>
            </w:r>
            <w:r w:rsidRPr="008B252B">
              <w:rPr>
                <w:rFonts w:ascii="微软雅黑" w:hAnsi="微软雅黑" w:cs="宋体" w:hint="eastAsia"/>
                <w:sz w:val="24"/>
                <w:szCs w:val="24"/>
              </w:rPr>
              <w:t>号</w:t>
            </w:r>
          </w:p>
        </w:tc>
        <w:tc>
          <w:tcPr>
            <w:tcW w:w="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邮编</w:t>
            </w:r>
          </w:p>
        </w:tc>
        <w:tc>
          <w:tcPr>
            <w:tcW w:w="1905" w:type="dxa"/>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2640006</w:t>
            </w:r>
          </w:p>
        </w:tc>
      </w:tr>
      <w:tr w:rsidR="008B252B" w:rsidRPr="008B252B" w:rsidTr="008B252B">
        <w:trPr>
          <w:trHeight w:val="97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机构性质</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□行政机关   □事业单位     √内设机构   □临时机构       □其他</w:t>
            </w:r>
          </w:p>
        </w:tc>
      </w:tr>
      <w:tr w:rsidR="008B252B" w:rsidRPr="008B252B" w:rsidTr="008B252B">
        <w:trPr>
          <w:trHeight w:val="990"/>
          <w:jc w:val="center"/>
        </w:trPr>
        <w:tc>
          <w:tcPr>
            <w:tcW w:w="138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执法主体</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类别</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√法定行政机关          □法律、法规授权的组织</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□依法受委托执法的组织   </w:t>
            </w:r>
          </w:p>
        </w:tc>
      </w:tr>
      <w:tr w:rsidR="008B252B" w:rsidRPr="008B252B" w:rsidTr="008B252B">
        <w:trPr>
          <w:trHeight w:val="1110"/>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执法职权</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类型</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√行政许可  √行政处罚  √行政强制  □行政征收</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□行政征用    □行政确认  □其他行政执法行为                 </w:t>
            </w:r>
          </w:p>
        </w:tc>
      </w:tr>
      <w:tr w:rsidR="008B252B" w:rsidRPr="008B252B" w:rsidTr="008B252B">
        <w:trPr>
          <w:trHeight w:val="855"/>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经费来源</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√财政全额拨款   □财政差额拨款     □自收自支   □其他       </w:t>
            </w:r>
          </w:p>
        </w:tc>
      </w:tr>
      <w:tr w:rsidR="008B252B" w:rsidRPr="008B252B" w:rsidTr="008B252B">
        <w:trPr>
          <w:trHeight w:val="508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执法依据</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1.公安部《124号令》(2012年8月21日通过，2012年9月12日实施)第四十二条：“申请办理机动车质押备案或者解除质押备案的，由机动车所有人和典当行共同申请，机动车所有人应当填写申请表，并提交以下证明、凭证：   （一）机动车所有人和典当行的身份证明（二）机动车登记证书。   车辆管理所应当自受理之日起一日内，审查提交的证明、凭证，在机动车登记证书上签注质押备案或者解除质押备案的内容和日期。”  </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2.根据《中共东营市委、东营市人民政府关于东营市人民政府机构改革的实施意见》（东发[2009]25号），负责全市道路交通安全管理工作并承担相应责任，按规定负责车辆登记管理工作。</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3.《道路交通安全法》第五条：县级以上地方各级人民政府公安机关交通管理部门负责本行政区域内的道路交通安全管理工作。       </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4.《中华人民共和国人民警察法》第13条：公安机关的人民警察因履行职责的紧急需要，经出示相应证件，可以优先乘坐公共交通工具，遇交通阻碍时，优先通行。公安机关因侦查犯罪的需要，必要时，按照国家有关规定，可以优先使用机关、团体、企业事业组织和个人的交通工具、通信工具、场地和建筑物，用后应当及时归还，并支付适当费用；造成损失的，应当赔偿。</w:t>
            </w:r>
          </w:p>
        </w:tc>
      </w:tr>
      <w:tr w:rsidR="008B252B" w:rsidRPr="008B252B" w:rsidTr="008B252B">
        <w:trPr>
          <w:trHeight w:val="990"/>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备注</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rPr>
                <w:rFonts w:ascii="微软雅黑" w:hAnsi="微软雅黑" w:cs="宋体"/>
                <w:color w:val="404040"/>
                <w:sz w:val="24"/>
                <w:szCs w:val="24"/>
              </w:rPr>
            </w:pPr>
          </w:p>
        </w:tc>
      </w:tr>
      <w:tr w:rsidR="008B252B" w:rsidRPr="008B252B" w:rsidTr="008B252B">
        <w:trPr>
          <w:trHeight w:val="990"/>
          <w:jc w:val="center"/>
        </w:trPr>
        <w:tc>
          <w:tcPr>
            <w:tcW w:w="1380" w:type="dxa"/>
            <w:tcBorders>
              <w:top w:val="nil"/>
              <w:left w:val="single" w:sz="6" w:space="0" w:color="auto"/>
              <w:bottom w:val="single" w:sz="6" w:space="0" w:color="auto"/>
              <w:right w:val="single" w:sz="6" w:space="0" w:color="000000"/>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lastRenderedPageBreak/>
              <w:t>单位全称</w:t>
            </w:r>
          </w:p>
        </w:tc>
        <w:tc>
          <w:tcPr>
            <w:tcW w:w="8040" w:type="dxa"/>
            <w:gridSpan w:val="3"/>
            <w:tcBorders>
              <w:top w:val="nil"/>
              <w:left w:val="nil"/>
              <w:bottom w:val="single" w:sz="6" w:space="0" w:color="auto"/>
              <w:right w:val="single" w:sz="6" w:space="0" w:color="auto"/>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烟台市公安局经济技术开发区分局治安大队</w:t>
            </w:r>
          </w:p>
        </w:tc>
      </w:tr>
      <w:tr w:rsidR="008B252B" w:rsidRPr="008B252B" w:rsidTr="008B252B">
        <w:trPr>
          <w:trHeight w:val="85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办公地址</w:t>
            </w:r>
          </w:p>
        </w:tc>
        <w:tc>
          <w:tcPr>
            <w:tcW w:w="54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烟台开发区长江路66号</w:t>
            </w:r>
          </w:p>
        </w:tc>
        <w:tc>
          <w:tcPr>
            <w:tcW w:w="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邮编</w:t>
            </w:r>
          </w:p>
        </w:tc>
        <w:tc>
          <w:tcPr>
            <w:tcW w:w="1905" w:type="dxa"/>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264004</w:t>
            </w:r>
          </w:p>
        </w:tc>
      </w:tr>
      <w:tr w:rsidR="008B252B" w:rsidRPr="008B252B" w:rsidTr="008B252B">
        <w:trPr>
          <w:trHeight w:val="840"/>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机构性质</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□行政机关   □事业单位     </w:t>
            </w:r>
            <w:r w:rsidRPr="008B252B">
              <w:rPr>
                <w:rFonts w:ascii="MS Gothic" w:eastAsia="MS Gothic" w:hAnsi="MS Gothic" w:cs="宋体" w:hint="eastAsia"/>
                <w:sz w:val="24"/>
                <w:szCs w:val="24"/>
              </w:rPr>
              <w:t>☑</w:t>
            </w:r>
            <w:r w:rsidRPr="008B252B">
              <w:rPr>
                <w:rFonts w:ascii="微软雅黑" w:hAnsi="微软雅黑" w:cs="宋体" w:hint="eastAsia"/>
                <w:sz w:val="24"/>
                <w:szCs w:val="24"/>
              </w:rPr>
              <w:t>内设机构   □临时机构       □其他</w:t>
            </w:r>
          </w:p>
        </w:tc>
      </w:tr>
      <w:tr w:rsidR="008B252B" w:rsidRPr="008B252B" w:rsidTr="008B252B">
        <w:trPr>
          <w:trHeight w:val="990"/>
          <w:jc w:val="center"/>
        </w:trPr>
        <w:tc>
          <w:tcPr>
            <w:tcW w:w="138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执法主体</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类别</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MS Gothic" w:eastAsia="MS Gothic" w:hAnsi="MS Gothic" w:cs="宋体" w:hint="eastAsia"/>
                <w:sz w:val="24"/>
                <w:szCs w:val="24"/>
              </w:rPr>
              <w:t>☑</w:t>
            </w:r>
            <w:r w:rsidRPr="008B252B">
              <w:rPr>
                <w:rFonts w:ascii="微软雅黑" w:hAnsi="微软雅黑" w:cs="宋体" w:hint="eastAsia"/>
                <w:sz w:val="24"/>
                <w:szCs w:val="24"/>
              </w:rPr>
              <w:t>法定行政机关          □法律、法规授权的组织</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□依法受委托执法的组织   </w:t>
            </w:r>
          </w:p>
        </w:tc>
      </w:tr>
      <w:tr w:rsidR="008B252B" w:rsidRPr="008B252B" w:rsidTr="008B252B">
        <w:trPr>
          <w:trHeight w:val="82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执法职权</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类型</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MS Gothic" w:eastAsia="MS Gothic" w:hAnsi="MS Gothic" w:cs="宋体" w:hint="eastAsia"/>
                <w:sz w:val="24"/>
                <w:szCs w:val="24"/>
              </w:rPr>
              <w:t>☑</w:t>
            </w:r>
            <w:r w:rsidRPr="008B252B">
              <w:rPr>
                <w:rFonts w:ascii="微软雅黑" w:hAnsi="微软雅黑" w:cs="宋体" w:hint="eastAsia"/>
                <w:sz w:val="24"/>
                <w:szCs w:val="24"/>
              </w:rPr>
              <w:t>行政许可    </w:t>
            </w:r>
            <w:r w:rsidRPr="008B252B">
              <w:rPr>
                <w:rFonts w:ascii="MS Gothic" w:eastAsia="MS Gothic" w:hAnsi="MS Gothic" w:cs="宋体" w:hint="eastAsia"/>
                <w:sz w:val="24"/>
                <w:szCs w:val="24"/>
              </w:rPr>
              <w:t>☑</w:t>
            </w:r>
            <w:r w:rsidRPr="008B252B">
              <w:rPr>
                <w:rFonts w:ascii="微软雅黑" w:hAnsi="微软雅黑" w:cs="宋体" w:hint="eastAsia"/>
                <w:sz w:val="24"/>
                <w:szCs w:val="24"/>
              </w:rPr>
              <w:t>行政处罚  </w:t>
            </w:r>
            <w:r w:rsidRPr="008B252B">
              <w:rPr>
                <w:rFonts w:ascii="MS Gothic" w:eastAsia="MS Gothic" w:hAnsi="MS Gothic" w:cs="宋体" w:hint="eastAsia"/>
                <w:sz w:val="24"/>
                <w:szCs w:val="24"/>
              </w:rPr>
              <w:t>☑</w:t>
            </w:r>
            <w:r w:rsidRPr="008B252B">
              <w:rPr>
                <w:rFonts w:ascii="微软雅黑" w:hAnsi="微软雅黑" w:cs="宋体" w:hint="eastAsia"/>
                <w:sz w:val="24"/>
                <w:szCs w:val="24"/>
              </w:rPr>
              <w:t>行政强制  □行政征收</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□行政征用    □行政确认  □其他行政执法行为                 </w:t>
            </w:r>
          </w:p>
        </w:tc>
      </w:tr>
      <w:tr w:rsidR="008B252B" w:rsidRPr="008B252B" w:rsidTr="008B252B">
        <w:trPr>
          <w:trHeight w:val="870"/>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经费来源</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MS Gothic" w:eastAsia="MS Gothic" w:hAnsi="MS Gothic" w:cs="宋体" w:hint="eastAsia"/>
                <w:sz w:val="24"/>
                <w:szCs w:val="24"/>
              </w:rPr>
              <w:t>☑</w:t>
            </w:r>
            <w:r w:rsidRPr="008B252B">
              <w:rPr>
                <w:rFonts w:ascii="微软雅黑" w:hAnsi="微软雅黑" w:cs="宋体" w:hint="eastAsia"/>
                <w:sz w:val="24"/>
                <w:szCs w:val="24"/>
              </w:rPr>
              <w:t>财政全额拨款   □财政差额拨款     □自收自支   □其他       </w:t>
            </w:r>
          </w:p>
        </w:tc>
      </w:tr>
      <w:tr w:rsidR="008B252B" w:rsidRPr="008B252B" w:rsidTr="008B252B">
        <w:trPr>
          <w:trHeight w:val="2962"/>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执法依据</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中华人民共和国护照法》第六条：公民申请普通护照，应当提交本人居民身份证、户口簿、近期免冠照片以及申请事由的相关材料。国家工作人员因本法第五条规定的原因出境申请普通护照的，还应当按照国家有关规定提交相关证明文件。公安机关出入境管理机构应当自收到申请材料之日起十五日内签发普通护照；对不符合规定不予签发的，应当书面说明理由，并告知申请人享有依法申请行政复议或者提起行政诉讼的权利。第十八条：为他人提供伪造、变造的护照，或者出售护照的，依法追究刑事责任；尚不够刑事处罚的,由公安机关没收违法所得，处十日以上十五日以下拘留，并处二千元以上五千元以下罚款；非法护照及其印制设备由公安机关收缴。  </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《中华人民共和国出境入境管理法》第二十九条</w:t>
            </w:r>
            <w:r w:rsidRPr="008B252B">
              <w:rPr>
                <w:rFonts w:ascii="微软雅黑" w:hAnsi="微软雅黑" w:cs="宋体" w:hint="eastAsia"/>
                <w:color w:val="404040"/>
                <w:sz w:val="21"/>
                <w:szCs w:val="21"/>
              </w:rPr>
              <w:t> </w:t>
            </w:r>
            <w:r w:rsidRPr="008B252B">
              <w:rPr>
                <w:rFonts w:ascii="微软雅黑" w:hAnsi="微软雅黑" w:cs="宋体" w:hint="eastAsia"/>
                <w:sz w:val="24"/>
                <w:szCs w:val="24"/>
              </w:rPr>
              <w:t>外国人所持签证注明的停留期限不超过一百八十日的，持证人凭签证并按照签证注明的停留期限在中国境内停留。需要延长签证停留期限的，应当在签证注明的停留期限届满七日前向停留地县级以上地方人民政府公安机关出入境管理机构申请，按照要求提交申请事由的相关材料。经审查，延期理由合理、充分的，准予延长停留期限；不予延长停留期限的，应当按期离境。延长签证停留期限，累计不得超过签证原注明的停留期限。第四十三条   外国人有下列行为之一的，属于非法就业：（一）未按照规定取得工作许可和工作类居留证件在中国境内工作的；（二）超出工作许可限定范围在中国境内工作</w:t>
            </w:r>
            <w:r w:rsidRPr="008B252B">
              <w:rPr>
                <w:rFonts w:ascii="微软雅黑" w:hAnsi="微软雅黑" w:cs="宋体" w:hint="eastAsia"/>
                <w:sz w:val="24"/>
                <w:szCs w:val="24"/>
              </w:rPr>
              <w:lastRenderedPageBreak/>
              <w:t>的；（三）外国留学生违反勤工助学管理规定，超出规定的岗位范围或者时限在中国境内工作的。第四十四条   根据维护国家安全、公共安全的需要，公安机关、国家安全机关可以限制外国人、外国机构在某些地区设立居住或者办公场所；对已经设立的，可以限期迁离。未经批准，外国人不得进入限制外国人进入的区域。</w:t>
            </w:r>
          </w:p>
        </w:tc>
      </w:tr>
      <w:tr w:rsidR="008B252B" w:rsidRPr="008B252B" w:rsidTr="008B252B">
        <w:trPr>
          <w:trHeight w:val="990"/>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lastRenderedPageBreak/>
              <w:t>备注</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rPr>
                <w:rFonts w:ascii="微软雅黑" w:hAnsi="微软雅黑" w:cs="宋体"/>
                <w:color w:val="404040"/>
                <w:sz w:val="24"/>
                <w:szCs w:val="24"/>
              </w:rPr>
            </w:pPr>
          </w:p>
        </w:tc>
      </w:tr>
      <w:tr w:rsidR="008B252B" w:rsidRPr="008B252B" w:rsidTr="008B252B">
        <w:trPr>
          <w:trHeight w:val="990"/>
          <w:jc w:val="center"/>
        </w:trPr>
        <w:tc>
          <w:tcPr>
            <w:tcW w:w="1380" w:type="dxa"/>
            <w:tcBorders>
              <w:top w:val="nil"/>
              <w:left w:val="single" w:sz="6" w:space="0" w:color="auto"/>
              <w:bottom w:val="single" w:sz="6" w:space="0" w:color="auto"/>
              <w:right w:val="single" w:sz="6" w:space="0" w:color="000000"/>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单位全称</w:t>
            </w:r>
          </w:p>
        </w:tc>
        <w:tc>
          <w:tcPr>
            <w:tcW w:w="8040" w:type="dxa"/>
            <w:gridSpan w:val="3"/>
            <w:tcBorders>
              <w:top w:val="nil"/>
              <w:left w:val="nil"/>
              <w:bottom w:val="single" w:sz="6" w:space="0" w:color="auto"/>
              <w:right w:val="single" w:sz="6" w:space="0" w:color="auto"/>
            </w:tcBorders>
            <w:shd w:val="clear" w:color="auto" w:fill="BFBFB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烟台开发区公安分局各辖区派出所</w:t>
            </w:r>
          </w:p>
        </w:tc>
      </w:tr>
      <w:tr w:rsidR="008B252B" w:rsidRPr="008B252B" w:rsidTr="008B252B">
        <w:trPr>
          <w:trHeight w:val="420"/>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办公地址</w:t>
            </w:r>
          </w:p>
        </w:tc>
        <w:tc>
          <w:tcPr>
            <w:tcW w:w="54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烟台开发区各辖区镇街</w:t>
            </w:r>
          </w:p>
        </w:tc>
        <w:tc>
          <w:tcPr>
            <w:tcW w:w="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邮编</w:t>
            </w:r>
          </w:p>
        </w:tc>
        <w:tc>
          <w:tcPr>
            <w:tcW w:w="1905" w:type="dxa"/>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264006</w:t>
            </w:r>
          </w:p>
        </w:tc>
      </w:tr>
      <w:tr w:rsidR="008B252B" w:rsidRPr="008B252B" w:rsidTr="008B252B">
        <w:trPr>
          <w:trHeight w:val="70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机构性质</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MS Gothic" w:eastAsia="MS Gothic" w:hAnsi="MS Gothic" w:cs="宋体" w:hint="eastAsia"/>
                <w:sz w:val="24"/>
                <w:szCs w:val="24"/>
              </w:rPr>
              <w:t>☑</w:t>
            </w:r>
            <w:r w:rsidRPr="008B252B">
              <w:rPr>
                <w:rFonts w:ascii="微软雅黑" w:hAnsi="微软雅黑" w:cs="宋体" w:hint="eastAsia"/>
                <w:sz w:val="24"/>
                <w:szCs w:val="24"/>
              </w:rPr>
              <w:t>行政机关   □事业单位     □内设机构   □临时机构       □其他</w:t>
            </w:r>
          </w:p>
        </w:tc>
      </w:tr>
      <w:tr w:rsidR="008B252B" w:rsidRPr="008B252B" w:rsidTr="008B252B">
        <w:trPr>
          <w:trHeight w:val="720"/>
          <w:jc w:val="center"/>
        </w:trPr>
        <w:tc>
          <w:tcPr>
            <w:tcW w:w="138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执法主体</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类别</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MS Gothic" w:eastAsia="MS Gothic" w:hAnsi="MS Gothic" w:cs="宋体" w:hint="eastAsia"/>
                <w:sz w:val="24"/>
                <w:szCs w:val="24"/>
              </w:rPr>
              <w:t>☑</w:t>
            </w:r>
            <w:r w:rsidRPr="008B252B">
              <w:rPr>
                <w:rFonts w:ascii="微软雅黑" w:hAnsi="微软雅黑" w:cs="宋体" w:hint="eastAsia"/>
                <w:sz w:val="24"/>
                <w:szCs w:val="24"/>
              </w:rPr>
              <w:t>法定行政机关          □法律、法规授权的组织</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□依法受委托执法的组织   </w:t>
            </w:r>
          </w:p>
        </w:tc>
      </w:tr>
      <w:tr w:rsidR="008B252B" w:rsidRPr="008B252B" w:rsidTr="008B252B">
        <w:trPr>
          <w:trHeight w:val="750"/>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执法职权</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类型</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□行政许可    </w:t>
            </w:r>
            <w:r w:rsidRPr="008B252B">
              <w:rPr>
                <w:rFonts w:ascii="MS Gothic" w:eastAsia="MS Gothic" w:hAnsi="MS Gothic" w:cs="宋体" w:hint="eastAsia"/>
                <w:sz w:val="24"/>
                <w:szCs w:val="24"/>
              </w:rPr>
              <w:t>☑</w:t>
            </w:r>
            <w:r w:rsidRPr="008B252B">
              <w:rPr>
                <w:rFonts w:ascii="微软雅黑" w:hAnsi="微软雅黑" w:cs="宋体" w:hint="eastAsia"/>
                <w:sz w:val="24"/>
                <w:szCs w:val="24"/>
              </w:rPr>
              <w:t>行政处罚  </w:t>
            </w:r>
            <w:r w:rsidRPr="008B252B">
              <w:rPr>
                <w:rFonts w:ascii="MS Gothic" w:eastAsia="MS Gothic" w:hAnsi="MS Gothic" w:cs="宋体" w:hint="eastAsia"/>
                <w:sz w:val="24"/>
                <w:szCs w:val="24"/>
              </w:rPr>
              <w:t>☑</w:t>
            </w:r>
            <w:r w:rsidRPr="008B252B">
              <w:rPr>
                <w:rFonts w:ascii="微软雅黑" w:hAnsi="微软雅黑" w:cs="宋体" w:hint="eastAsia"/>
                <w:sz w:val="24"/>
                <w:szCs w:val="24"/>
              </w:rPr>
              <w:t>行政强制  □行政征收</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□行政征用    □行政确认  □其他行政执法行为                 </w:t>
            </w:r>
          </w:p>
        </w:tc>
      </w:tr>
      <w:tr w:rsidR="008B252B" w:rsidRPr="008B252B" w:rsidTr="008B252B">
        <w:trPr>
          <w:trHeight w:val="510"/>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经费来源</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MS Gothic" w:eastAsia="MS Gothic" w:hAnsi="MS Gothic" w:cs="宋体" w:hint="eastAsia"/>
                <w:sz w:val="24"/>
                <w:szCs w:val="24"/>
              </w:rPr>
              <w:t>☑</w:t>
            </w:r>
            <w:r w:rsidRPr="008B252B">
              <w:rPr>
                <w:rFonts w:ascii="微软雅黑" w:hAnsi="微软雅黑" w:cs="宋体" w:hint="eastAsia"/>
                <w:sz w:val="24"/>
                <w:szCs w:val="24"/>
              </w:rPr>
              <w:t>财政全额拨款   □财政差额拨款     □自收自支   □其他       </w:t>
            </w:r>
          </w:p>
        </w:tc>
      </w:tr>
      <w:tr w:rsidR="008B252B" w:rsidRPr="008B252B" w:rsidTr="008B252B">
        <w:trPr>
          <w:trHeight w:val="7755"/>
          <w:jc w:val="center"/>
        </w:trPr>
        <w:tc>
          <w:tcPr>
            <w:tcW w:w="1380" w:type="dxa"/>
            <w:tcBorders>
              <w:top w:val="nil"/>
              <w:left w:val="single" w:sz="6" w:space="0" w:color="auto"/>
              <w:bottom w:val="single" w:sz="6" w:space="0" w:color="000000"/>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lastRenderedPageBreak/>
              <w:t>执法依据</w:t>
            </w:r>
          </w:p>
        </w:tc>
        <w:tc>
          <w:tcPr>
            <w:tcW w:w="8040" w:type="dxa"/>
            <w:gridSpan w:val="3"/>
            <w:tcBorders>
              <w:top w:val="nil"/>
              <w:left w:val="nil"/>
              <w:bottom w:val="single" w:sz="6" w:space="0" w:color="000000"/>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1.《中华人民共和国治安管理处罚法》</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第八十二条[传唤和强制传唤]需要传唤违反治安管理行为人接受调查的，经公安机关办案部门负责人批准，使用传唤证传唤。对现场发现的违反治安管理行为人，人民警察经出示工作证件，可以口头传唤，但应当在询问笔录中注明。</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公安机关应当将传唤的原因和依据告知被传唤人。对无正当理由不接受传唤或者逃避传唤的人，可以强制传唤。</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第九十一条[处罚的决定机关]治安管理处罚由县级以上人民政府公安机关决定；其中警告、五百元以下的罚款可以由公安派出所决定。</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2.《公安机关办理行政案件程序规定》</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第四十四条[传唤、口头传唤和强制传唤的适用条件]需要传唤违法嫌疑人接受调查的，经公安派出所或者县级以上公安机关办案部门负责人批准，使用传唤证传唤。对现场发现的嫌疑人，人民警察经出示工作证件，可以口头传唤，并在询问笔录中注明违法嫌疑人到案经过、到案时间和离开时间。</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公安机关应当将传唤的原因和依据告知被传唤人。对无正当理由不接受传唤或者逃避传唤的违反治安管理行为人以及法律规定可以强制传唤的其他违法行为人，可以强制传唤。强制传唤时，可以依法使用手铐、警绳等约束性警械。</w:t>
            </w:r>
          </w:p>
          <w:p w:rsidR="008B252B" w:rsidRPr="008B252B" w:rsidRDefault="008B252B" w:rsidP="008B252B">
            <w:pPr>
              <w:adjustRightInd/>
              <w:snapToGrid/>
              <w:spacing w:after="0" w:line="420" w:lineRule="atLeast"/>
              <w:textAlignment w:val="baseline"/>
              <w:rPr>
                <w:rFonts w:ascii="微软雅黑" w:hAnsi="微软雅黑" w:cs="宋体" w:hint="eastAsia"/>
                <w:color w:val="404040"/>
                <w:sz w:val="21"/>
                <w:szCs w:val="21"/>
              </w:rPr>
            </w:pPr>
            <w:r w:rsidRPr="008B252B">
              <w:rPr>
                <w:rFonts w:ascii="微软雅黑" w:hAnsi="微软雅黑" w:cs="宋体" w:hint="eastAsia"/>
                <w:sz w:val="24"/>
                <w:szCs w:val="24"/>
              </w:rPr>
              <w:t>3.  《中华人民共和国人民警察法》</w:t>
            </w:r>
          </w:p>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第七条</w:t>
            </w:r>
            <w:r w:rsidRPr="008B252B">
              <w:rPr>
                <w:rFonts w:ascii="微软雅黑" w:hAnsi="微软雅黑" w:cs="宋体" w:hint="eastAsia"/>
                <w:color w:val="404040"/>
                <w:sz w:val="21"/>
                <w:szCs w:val="21"/>
              </w:rPr>
              <w:t> </w:t>
            </w:r>
            <w:r w:rsidRPr="008B252B">
              <w:rPr>
                <w:rFonts w:ascii="微软雅黑" w:hAnsi="微软雅黑" w:cs="宋体" w:hint="eastAsia"/>
                <w:sz w:val="24"/>
                <w:szCs w:val="24"/>
              </w:rPr>
              <w:t>公安机关的人民警察对违反治安管理或者其他公安行政管理法律、法规的个人或者组织，依法可以实施行政强制措施、行政处罚。</w:t>
            </w:r>
          </w:p>
        </w:tc>
      </w:tr>
      <w:tr w:rsidR="008B252B" w:rsidRPr="008B252B" w:rsidTr="008B252B">
        <w:trPr>
          <w:trHeight w:val="1005"/>
          <w:jc w:val="center"/>
        </w:trPr>
        <w:tc>
          <w:tcPr>
            <w:tcW w:w="1380" w:type="dxa"/>
            <w:tcBorders>
              <w:top w:val="nil"/>
              <w:left w:val="single" w:sz="6" w:space="0" w:color="auto"/>
              <w:bottom w:val="single" w:sz="6" w:space="0" w:color="auto"/>
              <w:right w:val="single" w:sz="6" w:space="0" w:color="000000"/>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line="420" w:lineRule="atLeast"/>
              <w:textAlignment w:val="baseline"/>
              <w:rPr>
                <w:rFonts w:ascii="微软雅黑" w:hAnsi="微软雅黑" w:cs="宋体"/>
                <w:color w:val="404040"/>
                <w:sz w:val="21"/>
                <w:szCs w:val="21"/>
              </w:rPr>
            </w:pPr>
            <w:r w:rsidRPr="008B252B">
              <w:rPr>
                <w:rFonts w:ascii="微软雅黑" w:hAnsi="微软雅黑" w:cs="宋体" w:hint="eastAsia"/>
                <w:sz w:val="24"/>
                <w:szCs w:val="24"/>
              </w:rPr>
              <w:t>备注</w:t>
            </w:r>
          </w:p>
        </w:tc>
        <w:tc>
          <w:tcPr>
            <w:tcW w:w="8040" w:type="dxa"/>
            <w:gridSpan w:val="3"/>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bottom"/>
            <w:hideMark/>
          </w:tcPr>
          <w:p w:rsidR="008B252B" w:rsidRPr="008B252B" w:rsidRDefault="008B252B" w:rsidP="008B252B">
            <w:pPr>
              <w:adjustRightInd/>
              <w:snapToGrid/>
              <w:spacing w:after="0"/>
              <w:rPr>
                <w:rFonts w:ascii="微软雅黑" w:hAnsi="微软雅黑" w:cs="宋体"/>
                <w:color w:val="404040"/>
                <w:sz w:val="24"/>
                <w:szCs w:val="24"/>
              </w:rPr>
            </w:pPr>
          </w:p>
        </w:tc>
      </w:tr>
    </w:tbl>
    <w:p w:rsidR="004358AB" w:rsidRDefault="004358AB" w:rsidP="00D31D50">
      <w:pPr>
        <w:spacing w:line="220" w:lineRule="atLeast"/>
      </w:pPr>
    </w:p>
    <w:sectPr w:rsidR="004358AB" w:rsidSect="004358AB">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236" w:rsidRDefault="001C5236" w:rsidP="008B252B">
      <w:pPr>
        <w:spacing w:after="0"/>
      </w:pPr>
      <w:r>
        <w:separator/>
      </w:r>
    </w:p>
  </w:endnote>
  <w:endnote w:type="continuationSeparator" w:id="0">
    <w:p w:rsidR="001C5236" w:rsidRDefault="001C5236" w:rsidP="008B252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8984"/>
      <w:docPartObj>
        <w:docPartGallery w:val="Page Numbers (Bottom of Page)"/>
        <w:docPartUnique/>
      </w:docPartObj>
    </w:sdtPr>
    <w:sdtContent>
      <w:p w:rsidR="008B252B" w:rsidRDefault="008B252B">
        <w:pPr>
          <w:pStyle w:val="a5"/>
          <w:jc w:val="center"/>
        </w:pPr>
        <w:fldSimple w:instr=" PAGE   \* MERGEFORMAT ">
          <w:r w:rsidRPr="008B252B">
            <w:rPr>
              <w:noProof/>
              <w:lang w:val="zh-CN"/>
            </w:rPr>
            <w:t>4</w:t>
          </w:r>
        </w:fldSimple>
      </w:p>
    </w:sdtContent>
  </w:sdt>
  <w:p w:rsidR="008B252B" w:rsidRDefault="008B252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236" w:rsidRDefault="001C5236" w:rsidP="008B252B">
      <w:pPr>
        <w:spacing w:after="0"/>
      </w:pPr>
      <w:r>
        <w:separator/>
      </w:r>
    </w:p>
  </w:footnote>
  <w:footnote w:type="continuationSeparator" w:id="0">
    <w:p w:rsidR="001C5236" w:rsidRDefault="001C5236" w:rsidP="008B252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
  <w:rsids>
    <w:rsidRoot w:val="00D31D50"/>
    <w:rsid w:val="001C5236"/>
    <w:rsid w:val="00323B43"/>
    <w:rsid w:val="003D37D8"/>
    <w:rsid w:val="00426133"/>
    <w:rsid w:val="004358AB"/>
    <w:rsid w:val="008B252B"/>
    <w:rsid w:val="008B7726"/>
    <w:rsid w:val="00AB6531"/>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252B"/>
    <w:pPr>
      <w:adjustRightInd/>
      <w:snapToGrid/>
      <w:spacing w:before="100" w:beforeAutospacing="1" w:after="100" w:afterAutospacing="1"/>
    </w:pPr>
    <w:rPr>
      <w:rFonts w:ascii="宋体" w:eastAsia="宋体" w:hAnsi="宋体" w:cs="宋体"/>
      <w:sz w:val="24"/>
      <w:szCs w:val="24"/>
    </w:rPr>
  </w:style>
  <w:style w:type="character" w:customStyle="1" w:styleId="text-tag">
    <w:name w:val="text-tag"/>
    <w:basedOn w:val="a0"/>
    <w:rsid w:val="008B252B"/>
  </w:style>
  <w:style w:type="paragraph" w:styleId="a4">
    <w:name w:val="header"/>
    <w:basedOn w:val="a"/>
    <w:link w:val="Char"/>
    <w:uiPriority w:val="99"/>
    <w:semiHidden/>
    <w:unhideWhenUsed/>
    <w:rsid w:val="008B252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semiHidden/>
    <w:rsid w:val="008B252B"/>
    <w:rPr>
      <w:rFonts w:ascii="Tahoma" w:hAnsi="Tahoma"/>
      <w:sz w:val="18"/>
      <w:szCs w:val="18"/>
    </w:rPr>
  </w:style>
  <w:style w:type="paragraph" w:styleId="a5">
    <w:name w:val="footer"/>
    <w:basedOn w:val="a"/>
    <w:link w:val="Char0"/>
    <w:uiPriority w:val="99"/>
    <w:unhideWhenUsed/>
    <w:rsid w:val="008B252B"/>
    <w:pPr>
      <w:tabs>
        <w:tab w:val="center" w:pos="4153"/>
        <w:tab w:val="right" w:pos="8306"/>
      </w:tabs>
    </w:pPr>
    <w:rPr>
      <w:sz w:val="18"/>
      <w:szCs w:val="18"/>
    </w:rPr>
  </w:style>
  <w:style w:type="character" w:customStyle="1" w:styleId="Char0">
    <w:name w:val="页脚 Char"/>
    <w:basedOn w:val="a0"/>
    <w:link w:val="a5"/>
    <w:uiPriority w:val="99"/>
    <w:rsid w:val="008B252B"/>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69870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2025-02-19T06:02:00Z</dcterms:modified>
</cp:coreProperties>
</file>