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7"/>
        <w:rPr>
          <w:rFonts w:hint="eastAsia"/>
          <w:b w:val="0"/>
          <w:bCs w:val="0"/>
        </w:rPr>
      </w:pPr>
    </w:p>
    <w:p>
      <w:pPr>
        <w:rPr>
          <w:rFonts w:hint="eastAsia"/>
          <w:b w:val="0"/>
          <w:bCs w:val="0"/>
        </w:rPr>
      </w:pPr>
    </w:p>
    <w:p>
      <w:pPr>
        <w:rPr>
          <w:rFonts w:hint="eastAsia" w:ascii="黑体" w:eastAsia="黑体"/>
          <w:b w:val="0"/>
          <w:bCs w:val="0"/>
          <w:szCs w:val="32"/>
        </w:rPr>
      </w:pPr>
    </w:p>
    <w:p>
      <w:pPr>
        <w:rPr>
          <w:rFonts w:hint="eastAsia"/>
          <w:b w:val="0"/>
          <w:bCs w:val="0"/>
          <w:szCs w:val="32"/>
        </w:rPr>
      </w:pPr>
      <w:r>
        <w:rPr>
          <w:rFonts w:hint="eastAsia"/>
          <w:b w:val="0"/>
          <w:bCs w:val="0"/>
          <w:szCs w:val="3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align>center</wp:align>
                </wp:positionH>
                <wp:positionV relativeFrom="margin">
                  <wp:posOffset>1080135</wp:posOffset>
                </wp:positionV>
                <wp:extent cx="5574665" cy="956945"/>
                <wp:effectExtent l="0" t="0" r="0" b="0"/>
                <wp:wrapNone/>
                <wp:docPr id="1" name="WJB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74665" cy="9569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1600" w:lineRule="exact"/>
                              <w:ind w:right="77" w:rightChars="24"/>
                              <w:jc w:val="distribute"/>
                              <w:rPr>
                                <w:rFonts w:hint="eastAsia" w:ascii="方正粗宋简体" w:hAnsi="Times New Roman" w:eastAsia="方正粗宋简体"/>
                                <w:color w:val="FF0000"/>
                                <w:spacing w:val="-45"/>
                                <w:w w:val="45"/>
                                <w:kern w:val="0"/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rFonts w:hint="eastAsia" w:ascii="方正粗宋简体" w:hAnsi="Times New Roman" w:eastAsia="方正粗宋简体"/>
                                <w:color w:val="FF0000"/>
                                <w:spacing w:val="-45"/>
                                <w:w w:val="45"/>
                                <w:kern w:val="0"/>
                                <w:sz w:val="144"/>
                                <w:szCs w:val="144"/>
                              </w:rPr>
                              <w:t>烟台</w:t>
                            </w:r>
                            <w:r>
                              <w:rPr>
                                <w:rFonts w:hint="eastAsia" w:ascii="方正粗宋简体" w:hAnsi="Times New Roman" w:eastAsia="方正粗宋简体"/>
                                <w:color w:val="FF0000"/>
                                <w:spacing w:val="-45"/>
                                <w:w w:val="45"/>
                                <w:kern w:val="0"/>
                                <w:sz w:val="144"/>
                                <w:szCs w:val="144"/>
                                <w:lang w:eastAsia="zh-CN"/>
                              </w:rPr>
                              <w:t>黄渤海新区</w:t>
                            </w:r>
                            <w:r>
                              <w:rPr>
                                <w:rFonts w:hint="eastAsia" w:ascii="方正粗宋简体" w:hAnsi="Times New Roman" w:eastAsia="方正粗宋简体"/>
                                <w:color w:val="FF0000"/>
                                <w:spacing w:val="-45"/>
                                <w:w w:val="45"/>
                                <w:kern w:val="0"/>
                                <w:sz w:val="144"/>
                                <w:szCs w:val="144"/>
                              </w:rPr>
                              <w:t>管委办公室文件</w:t>
                            </w:r>
                          </w:p>
                        </w:txbxContent>
                      </wps:txbx>
                      <wps:bodyPr vert="horz" wrap="square" lIns="0" tIns="0" rIns="0" bIns="0" anchor="t" upright="1"/>
                    </wps:wsp>
                  </a:graphicData>
                </a:graphic>
              </wp:anchor>
            </w:drawing>
          </mc:Choice>
          <mc:Fallback>
            <w:pict>
              <v:shape id="WJBT" o:spid="_x0000_s1026" o:spt="202" type="#_x0000_t202" style="position:absolute;left:0pt;margin-top:85.05pt;height:75.35pt;width:438.95pt;mso-position-horizontal:center;mso-position-vertical-relative:margin;z-index:-251657216;mso-width-relative:page;mso-height-relative:page;" filled="f" stroked="f" coordsize="21600,21600" o:gfxdata="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Cy4Nmo&#10;1wAAAAgBAAAPAAAAAAAAAAEAIAAAACIAAABkcnMvZG93bnJldi54bWxQSwECFAAUAAAACACHTuJA&#10;voZdVLABAABLAwAADgAAAAAAAAABACAAAAAmAQAAZHJzL2Uyb0RvYy54bWxQSwUGAAAAAAYABgBZ&#10;AQAASA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line="1600" w:lineRule="exact"/>
                        <w:ind w:right="77" w:rightChars="24"/>
                        <w:jc w:val="distribute"/>
                        <w:rPr>
                          <w:rFonts w:hint="eastAsia" w:ascii="方正粗宋简体" w:hAnsi="Times New Roman" w:eastAsia="方正粗宋简体"/>
                          <w:color w:val="FF0000"/>
                          <w:spacing w:val="-45"/>
                          <w:w w:val="45"/>
                          <w:kern w:val="0"/>
                          <w:sz w:val="144"/>
                          <w:szCs w:val="144"/>
                        </w:rPr>
                      </w:pPr>
                      <w:r>
                        <w:rPr>
                          <w:rFonts w:hint="eastAsia" w:ascii="方正粗宋简体" w:hAnsi="Times New Roman" w:eastAsia="方正粗宋简体"/>
                          <w:color w:val="FF0000"/>
                          <w:spacing w:val="-45"/>
                          <w:w w:val="45"/>
                          <w:kern w:val="0"/>
                          <w:sz w:val="144"/>
                          <w:szCs w:val="144"/>
                        </w:rPr>
                        <w:t>烟台</w:t>
                      </w:r>
                      <w:r>
                        <w:rPr>
                          <w:rFonts w:hint="eastAsia" w:ascii="方正粗宋简体" w:hAnsi="Times New Roman" w:eastAsia="方正粗宋简体"/>
                          <w:color w:val="FF0000"/>
                          <w:spacing w:val="-45"/>
                          <w:w w:val="45"/>
                          <w:kern w:val="0"/>
                          <w:sz w:val="144"/>
                          <w:szCs w:val="144"/>
                          <w:lang w:eastAsia="zh-CN"/>
                        </w:rPr>
                        <w:t>黄渤海新区</w:t>
                      </w:r>
                      <w:r>
                        <w:rPr>
                          <w:rFonts w:hint="eastAsia" w:ascii="方正粗宋简体" w:hAnsi="Times New Roman" w:eastAsia="方正粗宋简体"/>
                          <w:color w:val="FF0000"/>
                          <w:spacing w:val="-45"/>
                          <w:w w:val="45"/>
                          <w:kern w:val="0"/>
                          <w:sz w:val="144"/>
                          <w:szCs w:val="144"/>
                        </w:rPr>
                        <w:t>管委办公室文件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tabs>
          <w:tab w:val="left" w:pos="2212"/>
        </w:tabs>
        <w:rPr>
          <w:rFonts w:hint="eastAsia"/>
          <w:b w:val="0"/>
          <w:bCs w:val="0"/>
          <w:szCs w:val="32"/>
        </w:rPr>
      </w:pPr>
    </w:p>
    <w:p>
      <w:pPr>
        <w:ind w:right="316" w:rightChars="100"/>
        <w:rPr>
          <w:b w:val="0"/>
          <w:bCs w:val="0"/>
          <w:szCs w:val="32"/>
        </w:rPr>
      </w:pPr>
    </w:p>
    <w:p>
      <w:pPr>
        <w:jc w:val="center"/>
        <w:rPr>
          <w:rFonts w:hint="eastAsia" w:ascii="仿宋_GB2312"/>
          <w:b w:val="0"/>
          <w:bCs w:val="0"/>
          <w:szCs w:val="32"/>
        </w:rPr>
      </w:pPr>
    </w:p>
    <w:p>
      <w:pPr>
        <w:jc w:val="center"/>
        <w:rPr>
          <w:rFonts w:hint="eastAsia" w:ascii="仿宋_GB2312"/>
          <w:b w:val="0"/>
          <w:bCs w:val="0"/>
          <w:szCs w:val="32"/>
        </w:rPr>
      </w:pPr>
      <w:r>
        <w:rPr>
          <w:rFonts w:hint="eastAsia" w:ascii="仿宋_GB2312"/>
          <w:b w:val="0"/>
          <w:bCs w:val="0"/>
          <w:szCs w:val="32"/>
        </w:rPr>
        <w:t>烟</w:t>
      </w:r>
      <w:r>
        <w:rPr>
          <w:rFonts w:hint="eastAsia" w:ascii="仿宋_GB2312"/>
          <w:b w:val="0"/>
          <w:bCs w:val="0"/>
          <w:szCs w:val="32"/>
          <w:lang w:eastAsia="zh-CN"/>
        </w:rPr>
        <w:t>黄新管办</w:t>
      </w:r>
      <w:r>
        <w:rPr>
          <w:rFonts w:hint="eastAsia" w:ascii="仿宋_GB2312"/>
          <w:b w:val="0"/>
          <w:bCs w:val="0"/>
          <w:szCs w:val="32"/>
        </w:rPr>
        <w:t>〔20</w:t>
      </w:r>
      <w:r>
        <w:rPr>
          <w:rFonts w:hint="eastAsia" w:ascii="仿宋_GB2312"/>
          <w:b w:val="0"/>
          <w:bCs w:val="0"/>
          <w:szCs w:val="32"/>
          <w:lang w:val="en-US" w:eastAsia="zh-CN"/>
        </w:rPr>
        <w:t>26</w:t>
      </w:r>
      <w:r>
        <w:rPr>
          <w:rFonts w:hint="eastAsia" w:ascii="仿宋_GB2312"/>
          <w:b w:val="0"/>
          <w:bCs w:val="0"/>
          <w:szCs w:val="32"/>
        </w:rPr>
        <w:t>〕</w:t>
      </w:r>
      <w:r>
        <w:rPr>
          <w:rFonts w:hint="eastAsia" w:ascii="仿宋_GB2312"/>
          <w:b w:val="0"/>
          <w:bCs w:val="0"/>
          <w:szCs w:val="32"/>
          <w:lang w:val="en-US" w:eastAsia="zh-CN"/>
        </w:rPr>
        <w:t>6</w:t>
      </w:r>
      <w:bookmarkStart w:id="0" w:name="_GoBack"/>
      <w:bookmarkEnd w:id="0"/>
      <w:r>
        <w:rPr>
          <w:rFonts w:hint="eastAsia" w:ascii="仿宋_GB2312"/>
          <w:b w:val="0"/>
          <w:bCs w:val="0"/>
          <w:szCs w:val="32"/>
        </w:rPr>
        <w:t>号</w:t>
      </w:r>
    </w:p>
    <w:p>
      <w:pPr>
        <w:rPr>
          <w:rFonts w:hint="eastAsia"/>
          <w:b w:val="0"/>
          <w:bCs w:val="0"/>
          <w:szCs w:val="32"/>
        </w:rPr>
      </w:pPr>
    </w:p>
    <w:p>
      <w:pPr>
        <w:rPr>
          <w:rFonts w:hint="eastAsia"/>
          <w:b w:val="0"/>
          <w:bCs w:val="0"/>
          <w:szCs w:val="32"/>
        </w:rPr>
      </w:pPr>
      <w:r>
        <w:rPr>
          <w:rFonts w:hint="eastAsia"/>
          <w:b w:val="0"/>
          <w:bCs w:val="0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1">
                <wp:simplePos x="0" y="0"/>
                <wp:positionH relativeFrom="column">
                  <wp:posOffset>-635</wp:posOffset>
                </wp:positionH>
                <wp:positionV relativeFrom="page">
                  <wp:posOffset>4356735</wp:posOffset>
                </wp:positionV>
                <wp:extent cx="5615940" cy="0"/>
                <wp:effectExtent l="0" t="0" r="0" b="0"/>
                <wp:wrapNone/>
                <wp:docPr id="2" name="BTBX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ln w="2222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BTBX" o:spid="_x0000_s1026" o:spt="20" style="position:absolute;left:0pt;margin-left:-0.05pt;margin-top:343.05pt;height:0pt;width:442.2pt;mso-position-vertical-relative:page;z-index:251660288;mso-width-relative:page;mso-height-relative:page;" filled="f" stroked="t" coordsize="21600,21600" o:gfxdata="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T+cnb9cAAAAJAQAADwAAAAAAAAABACAAAAAiAAAAZHJzL2Rvd25yZXYu&#10;eG1sUEsBAhQAFAAAAAgAh07iQCWHJhDDAQAAigMAAA4AAAAAAAAAAQAgAAAAJgEAAGRycy9lMm9E&#10;b2MueG1sUEsFBgAAAAAGAAYAWQEAAFsFAAAAAA==&#10;">
                <v:fill on="f" focussize="0,0"/>
                <v:stroke weight="1.75pt" color="#FF0000" joinstyle="round"/>
                <v:imagedata o:title=""/>
                <o:lock v:ext="edit" aspectratio="f"/>
                <w10:anchorlock/>
              </v:line>
            </w:pict>
          </mc:Fallback>
        </mc:AlternateConten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afterLines="0" w:line="580" w:lineRule="exact"/>
        <w:ind w:left="0" w:leftChars="0"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kern w:val="21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1"/>
          <w:sz w:val="44"/>
          <w:szCs w:val="44"/>
        </w:rPr>
        <w:t>烟台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1"/>
          <w:sz w:val="44"/>
          <w:szCs w:val="44"/>
          <w:lang w:eastAsia="zh-CN"/>
        </w:rPr>
        <w:t>黄渤海新区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1"/>
          <w:sz w:val="44"/>
          <w:szCs w:val="44"/>
        </w:rPr>
        <w:t>管委办公室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right="0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关于印发《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烟台黄渤海新区（经济技术开发区）促进服务业优质高效发展行动方案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》的通知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Lines="0" w:afterLines="0" w:line="560" w:lineRule="exact"/>
        <w:ind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21"/>
          <w:sz w:val="44"/>
          <w:szCs w:val="44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righ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各街道（镇）办事处（政府），直属各部门、单位，中央、省、市属驻区各单位：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现将《烟台黄渤海新区（经济技术开发区）促进服务业优质高效发展行动方案》印发给你们，请认真贯彻执行。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default"/>
          <w:b w:val="0"/>
          <w:bCs w:val="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500" w:firstLineChars="1424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烟台黄渤海新区管委办公室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282" w:rightChars="406"/>
        <w:jc w:val="righ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sectPr>
          <w:headerReference r:id="rId3" w:type="default"/>
          <w:footerReference r:id="rId4" w:type="default"/>
          <w:pgSz w:w="11906" w:h="16838"/>
          <w:pgMar w:top="2098" w:right="1531" w:bottom="1984" w:left="1531" w:header="851" w:footer="1587" w:gutter="0"/>
          <w:pgNumType w:fmt="decimal"/>
          <w:cols w:space="0" w:num="1"/>
          <w:rtlGutter w:val="0"/>
          <w:docGrid w:type="linesAndChars" w:linePitch="579" w:charSpace="-849"/>
        </w:sect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                             202</w:t>
      </w:r>
      <w:r>
        <w:rPr>
          <w:rFonts w:hint="eastAsia" w:ascii="仿宋_GB2312" w:hAnsi="仿宋_GB2312" w:cs="仿宋_GB2312"/>
          <w:b w:val="0"/>
          <w:bCs w:val="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年</w:t>
      </w:r>
      <w:r>
        <w:rPr>
          <w:rFonts w:hint="eastAsia" w:ascii="仿宋_GB2312" w:hAnsi="仿宋_GB2312" w:cs="仿宋_GB2312"/>
          <w:b w:val="0"/>
          <w:bCs w:val="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月</w:t>
      </w:r>
      <w:r>
        <w:rPr>
          <w:rFonts w:hint="eastAsia" w:ascii="仿宋_GB2312" w:hAnsi="仿宋_GB2312" w:cs="仿宋_GB2312"/>
          <w:b w:val="0"/>
          <w:bCs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</w:rPr>
        <w:t>烟台黄渤海新区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  <w:lang w:val="en-US" w:eastAsia="zh-CN"/>
        </w:rPr>
        <w:t>经济技术开发区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</w:rPr>
        <w:t>促进服务业优质高效发展行动方案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240" w:lineRule="auto"/>
        <w:ind w:left="0" w:right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/>
        </w:rPr>
        <w:t>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"/>
        </w:rPr>
        <w:t>贯彻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/>
        </w:rPr>
        <w:t>落实中央和省市关于促进服务业优质高效发展的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"/>
        </w:rPr>
        <w:t>系列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/>
        </w:rPr>
        <w:t>部署，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"/>
        </w:rPr>
        <w:t>聚力打造现代产业集聚区，进一步推动我区服务业扩能提质、加力突破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/>
        </w:rPr>
        <w:t>，制定本行动方案。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720"/>
        <w:textAlignment w:val="auto"/>
        <w:rPr>
          <w:rFonts w:hint="eastAsia" w:ascii="黑体" w:hAnsi="黑体" w:eastAsia="黑体" w:cs="黑体"/>
          <w:b w:val="0"/>
          <w:bCs w:val="0"/>
          <w:color w:val="auto"/>
          <w:spacing w:val="0"/>
          <w:sz w:val="32"/>
          <w:szCs w:val="32"/>
          <w:lang w:val="en-US" w:eastAsia="zh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0"/>
          <w:sz w:val="32"/>
          <w:szCs w:val="32"/>
          <w:lang w:val="en-US" w:eastAsia="zh-CN"/>
        </w:rPr>
        <w:t>一、总体</w:t>
      </w:r>
      <w:r>
        <w:rPr>
          <w:rFonts w:hint="eastAsia" w:ascii="黑体" w:hAnsi="黑体" w:eastAsia="黑体" w:cs="黑体"/>
          <w:b w:val="0"/>
          <w:bCs w:val="0"/>
          <w:color w:val="auto"/>
          <w:spacing w:val="0"/>
          <w:sz w:val="32"/>
          <w:szCs w:val="32"/>
          <w:lang w:val="en-US" w:eastAsia="zh"/>
        </w:rPr>
        <w:t>要求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240" w:lineRule="auto"/>
        <w:ind w:left="0" w:right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坚持以习近平新时代中国特色社会主义思想为指导，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"/>
        </w:rPr>
        <w:t>紧紧围绕“一城四区”战略目标，以加快推进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服务业与制造业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"/>
        </w:rPr>
        <w:t>深度融合为方向，聚焦重点行业、育强企业主体，积极引导布局、丰富优化业态，强化统筹机制、精准匹配资源，持续扩规模、优结构、增质效、提能级，全力推动生产性服务业向专业化高端化延伸、生活性服务业向精细化品质化提升，形成供需均衡、动能强劲、融合共生、优质高效的服务业发展新格局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240" w:lineRule="auto"/>
        <w:ind w:left="0" w:right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0"/>
          <w:kern w:val="2"/>
          <w:sz w:val="32"/>
          <w:szCs w:val="32"/>
          <w:highlight w:val="none"/>
          <w:lang w:val="en-US" w:eastAsia="zh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 w:val="0"/>
          <w:bCs w:val="0"/>
          <w:spacing w:val="0"/>
          <w:sz w:val="32"/>
          <w:szCs w:val="32"/>
          <w:lang w:val="en-US" w:eastAsia="zh-CN"/>
        </w:rPr>
        <w:t>——支撑作用</w:t>
      </w:r>
      <w:r>
        <w:rPr>
          <w:rFonts w:hint="eastAsia" w:ascii="楷体_GB2312" w:hAnsi="楷体_GB2312" w:eastAsia="楷体_GB2312" w:cs="楷体_GB2312"/>
          <w:b w:val="0"/>
          <w:bCs w:val="0"/>
          <w:spacing w:val="0"/>
          <w:sz w:val="32"/>
          <w:szCs w:val="32"/>
          <w:lang w:val="en-US" w:eastAsia="zh"/>
        </w:rPr>
        <w:t>显著</w:t>
      </w:r>
      <w:r>
        <w:rPr>
          <w:rFonts w:hint="eastAsia" w:ascii="楷体_GB2312" w:hAnsi="楷体_GB2312" w:eastAsia="楷体_GB2312" w:cs="楷体_GB2312"/>
          <w:b w:val="0"/>
          <w:bCs w:val="0"/>
          <w:spacing w:val="0"/>
          <w:sz w:val="32"/>
          <w:szCs w:val="32"/>
          <w:lang w:val="en-US" w:eastAsia="zh-CN"/>
        </w:rPr>
        <w:t>增强。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0"/>
          <w:kern w:val="2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到2030年，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0"/>
          <w:kern w:val="2"/>
          <w:sz w:val="32"/>
          <w:szCs w:val="32"/>
          <w:highlight w:val="none"/>
          <w:lang w:val="en-US" w:eastAsia="zh"/>
          <w14:textFill>
            <w14:solidFill>
              <w14:schemeClr w14:val="tx1"/>
            </w14:solidFill>
          </w14:textFill>
        </w:rPr>
        <w:t>服务业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0"/>
          <w:kern w:val="2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增加值突破1550亿元，年均增速高于全市0.2个百分点，占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0"/>
          <w:kern w:val="2"/>
          <w:sz w:val="32"/>
          <w:szCs w:val="32"/>
          <w:highlight w:val="none"/>
          <w:lang w:val="en-US" w:eastAsia="zh"/>
          <w14:textFill>
            <w14:solidFill>
              <w14:schemeClr w14:val="tx1"/>
            </w14:solidFill>
          </w14:textFill>
        </w:rPr>
        <w:t>地区生产总值的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0"/>
          <w:kern w:val="2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比重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0"/>
          <w:kern w:val="2"/>
          <w:sz w:val="32"/>
          <w:szCs w:val="32"/>
          <w:highlight w:val="none"/>
          <w:lang w:val="en-US" w:eastAsia="zh"/>
          <w14:textFill>
            <w14:solidFill>
              <w14:schemeClr w14:val="tx1"/>
            </w14:solidFill>
          </w14:textFill>
        </w:rPr>
        <w:t>提高到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0"/>
          <w:kern w:val="2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48%以上，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0"/>
          <w:kern w:val="2"/>
          <w:sz w:val="32"/>
          <w:szCs w:val="32"/>
          <w:highlight w:val="none"/>
          <w:lang w:val="en-US" w:eastAsia="zh"/>
          <w14:textFill>
            <w14:solidFill>
              <w14:schemeClr w14:val="tx1"/>
            </w14:solidFill>
          </w14:textFill>
        </w:rPr>
        <w:t>服务业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0"/>
          <w:kern w:val="2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吸纳就业占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0"/>
          <w:kern w:val="2"/>
          <w:sz w:val="32"/>
          <w:szCs w:val="32"/>
          <w:highlight w:val="none"/>
          <w:u w:val="none"/>
          <w:lang w:val="en-US" w:eastAsia="zh"/>
          <w14:textFill>
            <w14:solidFill>
              <w14:schemeClr w14:val="tx1"/>
            </w14:solidFill>
          </w14:textFill>
        </w:rPr>
        <w:t>全社会就业的比重超过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0"/>
          <w:kern w:val="2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50%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0"/>
          <w:kern w:val="2"/>
          <w:sz w:val="32"/>
          <w:szCs w:val="32"/>
          <w:highlight w:val="none"/>
          <w:lang w:val="en-US" w:eastAsia="zh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240" w:lineRule="auto"/>
        <w:ind w:left="0" w:right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0"/>
          <w:kern w:val="2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 w:val="0"/>
          <w:bCs w:val="0"/>
          <w:spacing w:val="0"/>
          <w:sz w:val="32"/>
          <w:szCs w:val="32"/>
          <w:lang w:val="en-US" w:eastAsia="zh-CN"/>
        </w:rPr>
        <w:t>——发展</w:t>
      </w:r>
      <w:r>
        <w:rPr>
          <w:rFonts w:hint="eastAsia" w:ascii="楷体_GB2312" w:hAnsi="楷体_GB2312" w:eastAsia="楷体_GB2312" w:cs="楷体_GB2312"/>
          <w:b w:val="0"/>
          <w:bCs w:val="0"/>
          <w:spacing w:val="0"/>
          <w:sz w:val="32"/>
          <w:szCs w:val="32"/>
          <w:lang w:val="en-US" w:eastAsia="zh"/>
        </w:rPr>
        <w:t>质效</w:t>
      </w:r>
      <w:r>
        <w:rPr>
          <w:rFonts w:hint="eastAsia" w:ascii="楷体_GB2312" w:hAnsi="楷体_GB2312" w:eastAsia="楷体_GB2312" w:cs="楷体_GB2312"/>
          <w:b w:val="0"/>
          <w:bCs w:val="0"/>
          <w:spacing w:val="0"/>
          <w:sz w:val="32"/>
          <w:szCs w:val="32"/>
          <w:lang w:val="en-US" w:eastAsia="zh-CN"/>
        </w:rPr>
        <w:t>显著提升</w:t>
      </w:r>
      <w:r>
        <w:rPr>
          <w:rFonts w:hint="eastAsia" w:ascii="楷体_GB2312" w:hAnsi="楷体_GB2312" w:eastAsia="楷体_GB2312" w:cs="楷体_GB2312"/>
          <w:b w:val="0"/>
          <w:bCs w:val="0"/>
          <w:spacing w:val="0"/>
          <w:sz w:val="32"/>
          <w:szCs w:val="32"/>
          <w:lang w:val="en-US" w:eastAsia="zh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0"/>
          <w:kern w:val="2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到2030年，生产性服务业增加值达到1000亿元，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0"/>
          <w:kern w:val="2"/>
          <w:sz w:val="32"/>
          <w:szCs w:val="32"/>
          <w:highlight w:val="none"/>
          <w:lang w:val="en-US" w:eastAsia="zh"/>
          <w14:textFill>
            <w14:solidFill>
              <w14:schemeClr w14:val="tx1"/>
            </w14:solidFill>
          </w14:textFill>
        </w:rPr>
        <w:t>占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0"/>
          <w:kern w:val="2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第三产业的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0"/>
          <w:kern w:val="2"/>
          <w:sz w:val="32"/>
          <w:szCs w:val="32"/>
          <w:highlight w:val="none"/>
          <w:lang w:val="en-US" w:eastAsia="zh"/>
          <w14:textFill>
            <w14:solidFill>
              <w14:schemeClr w14:val="tx1"/>
            </w14:solidFill>
          </w14:textFill>
        </w:rPr>
        <w:t>比重提高到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0"/>
          <w:kern w:val="2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65%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0"/>
          <w:kern w:val="2"/>
          <w:sz w:val="32"/>
          <w:szCs w:val="32"/>
          <w:highlight w:val="none"/>
          <w:lang w:val="en-US" w:eastAsia="zh"/>
          <w14:textFill>
            <w14:solidFill>
              <w14:schemeClr w14:val="tx1"/>
            </w14:solidFill>
          </w14:textFill>
        </w:rPr>
        <w:t>左右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0"/>
          <w:kern w:val="2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，比2025年提高8个百分点以上。培育生产性服务业领军企业10家、“两业融合”试点企业20家、服务业创新中心15家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0"/>
          <w:kern w:val="2"/>
          <w:sz w:val="32"/>
          <w:szCs w:val="32"/>
          <w:highlight w:val="none"/>
          <w:lang w:val="en-US" w:eastAsia="zh"/>
          <w14:textFill>
            <w14:solidFill>
              <w14:schemeClr w14:val="tx1"/>
            </w14:solidFill>
          </w14:textFill>
        </w:rPr>
        <w:t>，培育高层级生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0"/>
          <w:kern w:val="2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活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0"/>
          <w:kern w:val="2"/>
          <w:sz w:val="32"/>
          <w:szCs w:val="32"/>
          <w:highlight w:val="none"/>
          <w:lang w:val="en-US" w:eastAsia="zh"/>
          <w14:textFill>
            <w14:solidFill>
              <w14:schemeClr w14:val="tx1"/>
            </w14:solidFill>
          </w14:textFill>
        </w:rPr>
        <w:t>性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0"/>
          <w:kern w:val="2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服务业品牌35个。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32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0"/>
          <w:kern w:val="2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 w:val="0"/>
          <w:bCs w:val="0"/>
          <w:spacing w:val="0"/>
          <w:sz w:val="32"/>
          <w:szCs w:val="32"/>
          <w:lang w:val="en-US" w:eastAsia="zh-CN"/>
        </w:rPr>
        <w:t>——</w:t>
      </w:r>
      <w:r>
        <w:rPr>
          <w:rFonts w:hint="eastAsia" w:ascii="楷体_GB2312" w:hAnsi="楷体_GB2312" w:eastAsia="楷体_GB2312" w:cs="楷体_GB2312"/>
          <w:b w:val="0"/>
          <w:bCs w:val="0"/>
          <w:spacing w:val="0"/>
          <w:sz w:val="32"/>
          <w:szCs w:val="32"/>
          <w:lang w:val="en-US" w:eastAsia="zh"/>
        </w:rPr>
        <w:t>企业群体显著</w:t>
      </w:r>
      <w:r>
        <w:rPr>
          <w:rFonts w:hint="eastAsia" w:ascii="楷体_GB2312" w:hAnsi="楷体_GB2312" w:eastAsia="楷体_GB2312" w:cs="楷体_GB2312"/>
          <w:b w:val="0"/>
          <w:bCs w:val="0"/>
          <w:spacing w:val="0"/>
          <w:sz w:val="32"/>
          <w:szCs w:val="32"/>
          <w:lang w:val="en-US" w:eastAsia="zh-CN"/>
        </w:rPr>
        <w:t>壮大。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0"/>
          <w:kern w:val="2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到2030年，服务业市场主体占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0"/>
          <w:kern w:val="2"/>
          <w:sz w:val="32"/>
          <w:szCs w:val="32"/>
          <w:highlight w:val="none"/>
          <w:lang w:val="en-US" w:eastAsia="zh"/>
          <w14:textFill>
            <w14:solidFill>
              <w14:schemeClr w14:val="tx1"/>
            </w14:solidFill>
          </w14:textFill>
        </w:rPr>
        <w:t>产业单位的比重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0"/>
          <w:kern w:val="2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达到85%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0"/>
          <w:kern w:val="2"/>
          <w:sz w:val="32"/>
          <w:szCs w:val="32"/>
          <w:highlight w:val="none"/>
          <w:lang w:val="en-US" w:eastAsia="zh"/>
          <w14:textFill>
            <w14:solidFill>
              <w14:schemeClr w14:val="tx1"/>
            </w14:solidFill>
          </w14:textFill>
        </w:rPr>
        <w:t>以上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0"/>
          <w:kern w:val="2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，规上限上单位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0"/>
          <w:kern w:val="2"/>
          <w:sz w:val="32"/>
          <w:szCs w:val="32"/>
          <w:highlight w:val="none"/>
          <w:lang w:val="en-US" w:eastAsia="zh"/>
          <w14:textFill>
            <w14:solidFill>
              <w14:schemeClr w14:val="tx1"/>
            </w14:solidFill>
          </w14:textFill>
        </w:rPr>
        <w:t>突破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0"/>
          <w:kern w:val="2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1100家，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0"/>
          <w:kern w:val="2"/>
          <w:sz w:val="32"/>
          <w:szCs w:val="32"/>
          <w:highlight w:val="none"/>
          <w:lang w:val="en-US" w:eastAsia="zh"/>
          <w14:textFill>
            <w14:solidFill>
              <w14:schemeClr w14:val="tx1"/>
            </w14:solidFill>
          </w14:textFill>
        </w:rPr>
        <w:t>培育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0"/>
          <w:kern w:val="2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营收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0"/>
          <w:kern w:val="2"/>
          <w:sz w:val="32"/>
          <w:szCs w:val="32"/>
          <w:highlight w:val="none"/>
          <w:lang w:val="en-US" w:eastAsia="zh"/>
          <w14:textFill>
            <w14:solidFill>
              <w14:schemeClr w14:val="tx1"/>
            </w14:solidFill>
          </w14:textFill>
        </w:rPr>
        <w:t>过50亿元企业10家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0"/>
          <w:kern w:val="2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以上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0"/>
          <w:kern w:val="2"/>
          <w:sz w:val="32"/>
          <w:szCs w:val="32"/>
          <w:highlight w:val="none"/>
          <w:lang w:val="en-US" w:eastAsia="zh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0"/>
          <w:kern w:val="2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过10亿元企业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0"/>
          <w:kern w:val="2"/>
          <w:sz w:val="32"/>
          <w:szCs w:val="32"/>
          <w:highlight w:val="none"/>
          <w:lang w:val="en-US" w:eastAsia="zh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0"/>
          <w:kern w:val="2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0家以上、过亿元企业200家以上。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720"/>
        <w:textAlignment w:val="auto"/>
        <w:rPr>
          <w:rFonts w:hint="eastAsia" w:ascii="黑体" w:hAnsi="黑体" w:eastAsia="黑体" w:cs="黑体"/>
          <w:b w:val="0"/>
          <w:bC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0"/>
          <w:sz w:val="32"/>
          <w:szCs w:val="32"/>
          <w:lang w:val="en-US" w:eastAsia="zh-CN"/>
        </w:rPr>
        <w:t>二、发展方向及重点任务</w:t>
      </w: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right="0" w:rightChars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"/>
        </w:rPr>
        <w:t>坚持生产服务与生活服务互促共进，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扩大供给与提振需求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"/>
        </w:rPr>
        <w:t>协同发力，做优存量与做大增量有机联动，强力推进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“5+3”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"/>
        </w:rPr>
        <w:t>八大重点行业跨越升级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240" w:lineRule="auto"/>
        <w:ind w:left="0" w:right="0" w:firstLine="632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spacing w:val="0"/>
          <w:sz w:val="32"/>
          <w:szCs w:val="32"/>
          <w:lang w:val="en-US" w:eastAsia="zh"/>
        </w:rPr>
      </w:pPr>
      <w:r>
        <w:rPr>
          <w:rFonts w:hint="eastAsia" w:ascii="楷体_GB2312" w:hAnsi="楷体_GB2312" w:eastAsia="楷体_GB2312" w:cs="楷体_GB2312"/>
          <w:b w:val="0"/>
          <w:bCs w:val="0"/>
          <w:spacing w:val="0"/>
          <w:sz w:val="32"/>
          <w:szCs w:val="32"/>
          <w:lang w:val="en-US" w:eastAsia="zh-CN"/>
        </w:rPr>
        <w:t>（一）突破发展五大现代服务业</w:t>
      </w: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right="0" w:rightChars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1.科学研究和技术服务业。聚焦全过程创新链布局，持续增强科技服务企业内生增长、跨界衍生、龙头裂变和集群链接能力，不断扩大优质科技服务供给，推动科技创新和产业创新深度融合。到2030年，科学研究和技术服务业增加值达到150亿元以上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"/>
        </w:rPr>
        <w:t>规上企业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突破50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"/>
        </w:rPr>
        <w:t>家，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培育市级以上科创载体服务机构35家以上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"/>
        </w:rPr>
        <w:t>。</w:t>
      </w: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right="0" w:rightChars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（1）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"/>
        </w:rPr>
        <w:t>深化研发试验服务。鼓励科创平台及新型研发机构，设立独立核算法人主体，扩大成果转化、技术攻关、测试验证、合同研发等服务业务。做强汽车工程、新型材料、医药定制等研发服务，拓展服务外包领域。持续优化科技创新平台体系，强化全周期、全链条、市场化科技成果转移转化机制，引进一批创新创业、技术转移、孵化熟化服务机构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推进“政产学研金服用”高效联动，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"/>
        </w:rPr>
        <w:t>培育一批提供技术服务和整体解决方案的研发服务型企业。</w:t>
      </w: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right="0" w:rightChars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（2）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"/>
        </w:rPr>
        <w:t>提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升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"/>
        </w:rPr>
        <w:t>专业技术服务。提升检验检测服务，加强烟台检验检测产业园综合能力建设，夯实核电核岛装备产业计量测试中心、葡萄酒及白酒露酒产品质量检验检测中心两大国家级平台，加快国家石油天然气大流量计量烟台分站验收，提高企业认证层级，统筹发展延伸服务、计量服务和标准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化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"/>
        </w:rPr>
        <w:t>服务，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加快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"/>
        </w:rPr>
        <w:t>检验检测机构和装备制造企业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发展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"/>
        </w:rPr>
        <w:t>，促进检验检测与制造业协同布局。提升工程技术设计服务，支持企业开拓市场、提档升级、做大规模，再引进一批工程设计、勘察测绘、咨询服务类企业，壮大投资咨询、造价、监理、招标代理等专业服务机构。提升绿色低碳服务，发挥上海环交所烟台双碳中心作用，培优企业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能力水平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"/>
        </w:rPr>
        <w:t>，探索环境综合治理托管、智慧生态管理等新模式，培育一批生态环境监测、污染防治、合同能源管理、工业节能诊断等绿色服务机构，积极招引认证组织来区设立分支（合作）机构，发展节能减排投融资、绿色产品认证、环境影响评价等节能环保服务，搭建绿色低碳技术咨询服务体系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提升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"/>
        </w:rPr>
        <w:t>工业设计服务，立足制造业优势实施工业设计培育工程，支持企业整合资源设立设计中心，加大工业设计机构和企业招引力度，构建“设、研、产、销”综合设计服务生态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"/>
        </w:rPr>
        <w:t>开拓“互联网+工业设计”新型模式，支持设计创意企业上云、用数、赋智，培植智能创作、云端文化、交互媒体等新型业态。</w:t>
      </w: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right="0" w:rightChars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（3）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"/>
        </w:rPr>
        <w:t>扩容推广应用服务。优化创业空间服务，高水平运营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一批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"/>
        </w:rPr>
        <w:t>孵化载体，布局一批高能级概念验证中心，建设一批综合性、专业化及行业性中试平台，推进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化工中试基地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"/>
        </w:rPr>
        <w:t>、中关村验证测试平台等一批重点项目，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提升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"/>
        </w:rPr>
        <w:t>多元化创新创业服务体系。优化知识产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权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"/>
        </w:rPr>
        <w:t>服务，依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托烟台市知识产权服务业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"/>
        </w:rPr>
        <w:t>集聚区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"/>
        </w:rPr>
        <w:t>以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自贸区知识产权保护中心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"/>
        </w:rPr>
        <w:t>为先导，支持知识产权运营、商标品牌培育等服务机构落户发展，拓展高价值专利代理、专利运营业务，争创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国家知识产权服务业高质量集聚发展示范区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"/>
        </w:rPr>
        <w:t>。</w:t>
      </w: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right="0" w:rightChars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2.软件和信息技术服务业。强化场景、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"/>
        </w:rPr>
        <w:t>数据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、算力等资源要素整合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加快构建集软件、平台、服务于一体的产业链条，打造智能经济发展新形态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"/>
        </w:rPr>
        <w:t>。到2030年，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信息传输、软件和信息技术服务业增加值达到115亿元以上，规上企业突破35家，培育省级数字经济产业园区8个以上，市级人工智能数字楼宇10个以上，工业互联网平台15个以上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"/>
        </w:rPr>
        <w:t>。</w:t>
      </w: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right="0" w:rightChars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（1）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"/>
        </w:rPr>
        <w:t>大力布局人工智能。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高水平建设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"/>
        </w:rPr>
        <w:t>全市人工智能产业核心引领区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，强力打造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"/>
        </w:rPr>
        <w:t>烟台人工智能产业园，瞄准专用模型、通用芯片、全栈平台、智能体、智能终端、脑机接口等产业方向，统筹算力、数据、场景等要素资源，打造一批垂类模型，招引一批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产业链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"/>
        </w:rPr>
        <w:t>企业，集聚一批生态项目，推出一批示范场景，形成研发设计、孵化转化、中试加速、场景应用、企业熟化、产业育成的全链条产业生态。实施“人工智能+”专项行动，启动算力基础设施工程，推进人工智能技术在研发、制造、检测、营销及供应链管理等全环节创新应用，打造标杆性人工智能产业高地。</w:t>
      </w: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right="0" w:rightChars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（2）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"/>
        </w:rPr>
        <w:t>加快发展软件产业。实施“名园名企名品”培育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计划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"/>
        </w:rPr>
        <w:t>，聚焦高端工业软件与关键基础软件，支持企业提速技术研发，突破自动化控制、智能操作系统等关键技术。引导制造业企业开放应用场景，探索基础软件与工业软件供需结对攻关，鼓励专业软件企业强化技术产品和终端应用协同互动，引进布局一批工业软件集成验证中心、行业软件应用创新中心、软件工程技术中心。建立企业梯度培育体系，加快引育一批“头雁”企业和“专精特新”软件企业。</w:t>
      </w: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right="0" w:rightChars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（3）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"/>
        </w:rPr>
        <w:t>拓展信息技术服务。深挖工业互联网赋能制造业潜力，加力推进“产业数字化”与“数字产业化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”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"/>
        </w:rPr>
        <w:t>，支持平台和企业深度开发信息技术典型应用场景，拓展智能制造高附加值集成服务，加快发展数字孪生、算力服务、开源生态等数字经济业态。积极布局数字生产、流通、应用、安全等产业，支持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企业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"/>
        </w:rPr>
        <w:t>发展服务型制造，体系化推进机器人、无人机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、无人驾驶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"/>
        </w:rPr>
        <w:t>等数据信息服务，推动价值链重心从制造转向服务环节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，推进数据跨境流通试点，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"/>
        </w:rPr>
        <w:t>引培数据服务商、经纪商和数字游戏、影视动漫、数字视听类企业。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支持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"/>
        </w:rPr>
        <w:t>电信、广播电视和卫星传输服务提质增效，深化5G网络深度覆盖、千兆光网升级改造，拓展卫星通信、专网通信等新兴领域。</w:t>
      </w: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right="0" w:rightChars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"/>
        </w:rPr>
        <w:t>现代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金融业。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"/>
        </w:rPr>
        <w:t>以服务实体经济为导向，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深化金融与产业协同联动，推动金融业规模、质量和效益同步提升，构建与区域发展和产业升级相适配的现代金融体系。到2030年，金融业增加值达到80亿元以上，培育百亿级贷款规模银行5家以上，全区贷款余额、基金规模双双突破1800亿元，保费收入达到30亿元。</w:t>
      </w: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right="0" w:rightChars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（1）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"/>
        </w:rPr>
        <w:t>激活金融市场。支持设立银行、保险、证券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、融资租赁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"/>
        </w:rPr>
        <w:t>等各类金融机构及地方金融组织，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为产业升级、企业成长、消费提升提供坚实金融支撑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"/>
        </w:rPr>
        <w:t>。鼓励金融机构开展特色化“贷款+”服务，扩大“鲁科贷”“烟科贷”等政策性金融产品覆盖面，开发适合新型消费的金融产品和服务。重塑政银企对接合作机制，规范政府引导基金运作，稳步推进财政资金股权投资改革和“投贷联动”业务发展。</w:t>
      </w: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right="0" w:rightChars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（2）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"/>
        </w:rPr>
        <w:t>借力资本市场。发挥烟台资本市场服务基地功能，统筹监管部门、沪深北交易所及中介机构等多方资源，精准支持上市后备企业发展。强化政策赋能，推动本地优质企业规范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改制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"/>
        </w:rPr>
        <w:t>，鼓励上市企业围绕产业链上下游开展并购重组，通过再融资、设立基金等方式，带动中小企业融通发展。加强全生命周期创投体系建设，构建“天使+创投+成长+并购”的基金矩阵，吸引各类股权投资机构来区设立、集聚、投资，引导耐心资本投早、投小、投硬科技。</w:t>
      </w: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right="0" w:rightChars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（3）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"/>
        </w:rPr>
        <w:t>培育保险服务。在巩固提升车险、财险、健康险等险种规模的基础上，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支持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"/>
        </w:rPr>
        <w:t>保险机构围绕科技保险、绿色保险、货运保险、安全生产责任保险等，创新开发深度嵌入现代产业体系的生产性保险产品和服务。发挥自贸制度创新优势，鼓励开发定制化出口信用保险产品，服务企业国际贸易风险管理需求。</w:t>
      </w: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right="0" w:rightChars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4.租赁和商务服务业。坚持专业化、高端化、集聚化发展方向，做优产业载体、做强细分赛道，着力打造区域性商务服务高地。到2030年，租赁和商务服务业增加值达到110亿元以上，规上企业突破60家，其中人力资源企业30家以上、租赁业企业10家以上、会展广告法律等专业服务企业5家以上，引进培育区域性总部及功能性总部10家以上。</w:t>
      </w: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right="0" w:rightChars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（1）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"/>
        </w:rPr>
        <w:t>做强人力资源服务。以国际人才港为载体，引进培育一批具备高级人才寻访、人力资源测评、大数据分析能力的专业机构和企业，支持围绕重点产业链定制化引才、全球化猎聘，鼓励推广AI招聘、直播带岗、远程面试等数字化服务，拓展共享用工、灵活用工、离岸服务等业务新模式，提高人力资源产业园集聚能力。优化职业教育培训体系，着力发展云端培训服务、在线职业教育培训等新业态，支持高校院所与企业共建实训基地，共同培养实用型管理人才和高素质技能人才。大力招引人力资源服务机构落户，健全人力资源战略规划、人才资源信息系统等一站式综合服务，打造政企协同、产才融合、供需精准匹配的人力资源服务生态。</w:t>
      </w: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right="0" w:rightChars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（2）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"/>
        </w:rPr>
        <w:t>做优会展广告服务。坚持以会促产、以展兴城，依托八角湾国际会展中心等优质载体资源，支持重点产业链链主企业、产业联盟举办高规格产业论坛和专题展销会，吸引国内外一流会展企业和展会机构入驻，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打造一批专业化、国际化、绿色化的标志性展会活动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"/>
        </w:rPr>
        <w:t>。立足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展会场景激活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"/>
        </w:rPr>
        <w:t>广告服务需求，提升广告业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发展规模和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"/>
        </w:rPr>
        <w:t>水平，支持开展品牌策划、创意设计、大数据推送等定制服务，培育一批具有行业辨识度和区域影响力的广告服务机构。</w:t>
      </w: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right="0" w:rightChars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（3）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"/>
        </w:rPr>
        <w:t>做大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法律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"/>
        </w:rPr>
        <w:t>咨询服务。深化发展律师、公证、司法鉴定等法律服务，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支持律所做专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"/>
        </w:rPr>
        <w:t>做强，打造特色律所品牌。推动会计、审计、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税务、市场调查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"/>
        </w:rPr>
        <w:t>等咨询服务高端化发展，集中打造特色商务楼宇，引导头部咨询机构在区设立分支机构，鼓励服务模式创新，形成一批具有核心竞争力的商务服务品牌。</w:t>
      </w: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right="0" w:rightChars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（4）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"/>
        </w:rPr>
        <w:t>做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专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"/>
        </w:rPr>
        <w:t>租赁服务。支持企业扩大服务规模、提升服务品质，积极招引生产设备、工程机械、车辆船舶等优质租赁企业，丰富租赁业态供给。推广经营性租赁、售后回租等模式，降低企业设备投入成本，提升资源配置与利用效率，推动租赁业向规模化、专业化、市场化转型发展。</w:t>
      </w: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right="0" w:rightChars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5.现代物流业。立足区位优势、紧扣产业需求，进一步完善综合交通体系，创新业态发展模式，以高品质服务、高效能管理推动现代物流业提质增效、转型升级。到2030年，交通运输、仓储和邮政业增加值达到80亿元以上，规上企业突破60家，其中多式联运和运输代理业、装卸搬运和仓储业企业30家以上，培育营收过5亿元管道运输企业3家以上，水路货运周转量年均增长7%以上，公路货运周转量年均增长5%以上。</w:t>
      </w: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right="0" w:rightChars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（1）夯实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"/>
        </w:rPr>
        <w:t>交通运输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服务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"/>
        </w:rPr>
        <w:t>。围绕铁路、道路、水上和航空运输，加快西港区泊位建设，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扩展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"/>
        </w:rPr>
        <w:t>烟台机场航班航次，推进龙烟铁路市域化改造、荣乌高速改扩建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"/>
        </w:rPr>
        <w:t>国道G228改线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"/>
        </w:rPr>
        <w:t>工程，持续提升“海陆空铁”立体化交通运输水平。借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势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"/>
        </w:rPr>
        <w:t>烟台港口型国家物流枢纽建设，深化“区关港铁”联动，内培外引物流龙头企业和专业货代企业，大力发展多式联运，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推广“一单制”“一箱制”服务模式，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"/>
        </w:rPr>
        <w:t>推进物流降本增效，增强物流集散辐射能力。提升智慧物流水平，运用大数据、数字孪生、无人驾驶等先进技术赋能传统物流，创新发展低空物流、网络货运、无人配送等物流新业态。</w:t>
      </w: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right="0" w:rightChars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（2）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"/>
        </w:rPr>
        <w:t>壮大管道运输服务。集中做强原油、LNG两大板块，加快推进西港区LNG长输管道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投用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"/>
        </w:rPr>
        <w:t>，谋划启动西港区油品泊位三期工程，进一步扩大管道运输货源，支撑管道运输扩规提质。以河海智慧能源项目为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依托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"/>
        </w:rPr>
        <w:t>，启动烟台长输供热管网建设，推动管网运营企业稳健发展。</w:t>
      </w: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right="0" w:rightChars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（3）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"/>
        </w:rPr>
        <w:t>提升搬运仓储服务。紧盯产业发展需求，聚焦医药、水产、生鲜、食品等领域，在通用仓储基础上，规划建设一批专业化、智慧化仓储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设施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"/>
        </w:rPr>
        <w:t>，提升配套服务精准度。依托烟台化工产业园，推进专业危化品仓库建设，满足化工新材料企业快速增长的仓储需求。加快推进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西港区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"/>
        </w:rPr>
        <w:t>LNG项目投产，持续做强油气仓储。发挥综保区优势，发展跨境电商、保税混配等业务，巩固扩大保税仓储。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240" w:lineRule="auto"/>
        <w:ind w:left="0" w:right="0" w:firstLine="632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spacing w:val="0"/>
          <w:sz w:val="32"/>
          <w:szCs w:val="32"/>
          <w:lang w:val="en-US" w:eastAsia="zh"/>
        </w:rPr>
      </w:pPr>
      <w:r>
        <w:rPr>
          <w:rFonts w:hint="eastAsia" w:ascii="楷体_GB2312" w:hAnsi="楷体_GB2312" w:eastAsia="楷体_GB2312" w:cs="楷体_GB2312"/>
          <w:b w:val="0"/>
          <w:bCs w:val="0"/>
          <w:spacing w:val="0"/>
          <w:sz w:val="32"/>
          <w:szCs w:val="32"/>
          <w:lang w:val="en-US" w:eastAsia="zh-CN"/>
        </w:rPr>
        <w:t>（二）巩固提升三大传统服务业</w:t>
      </w: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right="0" w:rightChars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1.商贸服务业。健全现代商贸流通体系，持续优化供给结构、丰富消费场景、提升服务品质，全面激发消费活力、提升行业发展能级。到2030年，批发和零售业、住宿和餐饮业增加值分别达到630亿元以上、65亿元以上，限上企业突破760家，带动社会消费品零售总额突破400亿元，培育产销分离企业15家以上，国际品牌酒店15家以上，“三新”消费场景试点项目60个以上。</w:t>
      </w: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right="0" w:rightChars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（1）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"/>
        </w:rPr>
        <w:t>巩固批发零售业。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聚焦化工产品、机械设备、金属材料等领域，推动批发企业稳健发展。合理布局大型商品市场，支持批零联动、跨区域分销，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"/>
        </w:rPr>
        <w:t>培育一批贸易型示范企业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。推动商业综合体、专业卖场等线上线下融合发展，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"/>
        </w:rPr>
        <w:t>扩大文化、体育、旅游、数字等改善型消费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"/>
        </w:rPr>
        <w:t>做优首发、低空、夜经济等消费体验，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拓展悦己消费、即时零售等新模式，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"/>
        </w:rPr>
        <w:t>支持无人超市、智能货架等设施建设，引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培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"/>
        </w:rPr>
        <w:t>一批高能级旗舰店、连锁店、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仓储会员店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"/>
        </w:rPr>
        <w:t>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品牌折扣店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"/>
        </w:rPr>
        <w:t>。培育发展电商经济，加大直播电商MCN机构招引力度，集聚一批直播孵化公司和主播达人，鼓励电商企业与制造企业合作，提供在线采购、网络直销等服务模式，健全跨境电商一站式综合服务，加强海外仓建设，推动烟台好品高效触达境外买家。</w:t>
      </w: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right="0" w:rightChars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（2）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"/>
        </w:rPr>
        <w:t>提质住宿餐饮业。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放大酒店品牌效应，扩围提质高端酒店、精品民宿等多元消费供给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"/>
        </w:rPr>
        <w:t>，创新发展“票根经济”，以赛事、演出、会展、文旅等票证为纽带，联动住宿餐饮业态推出专属优惠与增值服务，打造旅游季、赛事住宿、演唱会打卡等系列定制化产品。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深挖地域饮食文化潜力，做大“鲁菜之乡”品牌，依托餐饮集聚街区，培育一批具有地域辨识度的餐饮名店，打造兼具烟火气与品质感的消费场景。</w:t>
      </w: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right="0" w:rightChars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2.文旅服务业。依托黄金海岸资源与特色城市名片，推动文化、旅游、体育、娱乐、商业跨界融合，打造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"/>
        </w:rPr>
        <w:t>全龄段、全季节滨海休闲旅游度假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目的地。到2030年，文化、体育和娱乐业增加值达到15亿元以上，规上企业突破5家，全区旅游总收入超过180亿元、年均增长10%以上。“十五五”期间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"/>
        </w:rPr>
        <w:t>，年举办大型营业性演出6场以上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"/>
        </w:rPr>
        <w:t>年观演突破5万人次，年举办国家级赛事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"/>
        </w:rPr>
        <w:t>项以上、省级赛事1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"/>
        </w:rPr>
        <w:t>项以上、市区级全民健身活动3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"/>
        </w:rPr>
        <w:t>项以上。</w:t>
      </w: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right="0" w:rightChars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（1）开拓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"/>
        </w:rPr>
        <w:t>文化体育服务。深入挖掘红酒、海洋、工业文化，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发挥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"/>
        </w:rPr>
        <w:t>文创产业载体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功能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"/>
        </w:rPr>
        <w:t>，加大对中小微文化企业的支持，集聚一批文化创意企业。积极培育创意设计、动漫游戏、版权服务等新型文化业态，加强优质数字文化产品供给和服务。系统开发与提升滨海、酒庄、工业遗存等特色取景地，推动“影城”融合，搭建影视协拍一站式服务平台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以八角湾国际体育中心建成投用为契机，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"/>
        </w:rPr>
        <w:t>全面提升赛事专业化和市场化水平，谋划奥运冠军赛、国际友城赛等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系列活动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"/>
        </w:rPr>
        <w:t>，争取挂牌山东省健美运动等一批优质训练基地，打造更具影响力的公共体育品牌。</w:t>
      </w: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right="0" w:rightChars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（2）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"/>
        </w:rPr>
        <w:t>推进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商旅文体融合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"/>
        </w:rPr>
        <w:t>发展。鼓励区内企业开发工业研学、海洋研学、红色研学、非遗研学等旅游产品，打造工业旅游示范基地，推动张裕柳林河谷景区创评国家AAAA级景区。放大八角湾国际会展中心集聚作用，推动金沙滩观光游、体验游、美食游、文化游深度融合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打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"/>
        </w:rPr>
        <w:t>响“浪漫金沙滩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"/>
        </w:rPr>
        <w:t>激情八角湾”文旅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IP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"/>
        </w:rPr>
        <w:t>。紧盯日韩、东南亚、俄罗斯等客源地，加大精品路线宣传推介，升级接待水平与能力，持续扩大入境游市场。结合青年、亲子、银发等客群需求，推出更多个性化产品，探索发展低空旅游、游艇经济、房车露营、城市市集等新业态。</w:t>
      </w: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right="0" w:rightChars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3.居民服务业。聚焦家政、养老、托育、社区服务等重点领域，以一刻钟便民生活圈、嵌入式社区服务、医养康养结合为抓手，扩大普惠优质服务供给，夯实民生服务保障基础。到2030年，居民服务、修理和其他服务业增加值达到40亿元以上，规上企业突破10家；卫生和社会工作增加值达到15亿元以上，规上企业突破15家。“十五五”期间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培育托育机构30家以上，民营及专业养老服务机构12家以上，打造区域性品牌家政企业5家以上。</w:t>
      </w: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right="0" w:rightChars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（1）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"/>
        </w:rPr>
        <w:t>扩大基础普惠服务。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以社区商业设施为载体，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"/>
        </w:rPr>
        <w:t>发展壮大美容美发、保健养生、汽车修理及家用电器维修等，鼓励发展婚庆旅拍、宠物服务等时尚业态，引导行业内“小散乱”企业向“标准化、品牌化、连锁化”转型，培育一批具备一定规模实力的企业，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实现“一刻钟生活圈”全覆盖。</w:t>
      </w: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right="0" w:rightChars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（2）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"/>
        </w:rPr>
        <w:t>健全养老托育服务。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推进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"/>
        </w:rPr>
        <w:t>开展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医养结合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"/>
        </w:rPr>
        <w:t>试点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，建设一批示范性老年友好型社区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推动家政服务与养老、育幼等融合发展，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"/>
        </w:rPr>
        <w:t>打造特色家政服务品牌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。鼓励社会力量办托，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"/>
        </w:rPr>
        <w:t>提供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全日托、计时托等多种形式托育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"/>
        </w:rPr>
        <w:t>服务，逐步推行免费学前教育，增强民生服务获得感。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720"/>
        <w:textAlignment w:val="auto"/>
        <w:rPr>
          <w:rFonts w:hint="eastAsia" w:ascii="黑体" w:hAnsi="黑体" w:eastAsia="黑体" w:cs="黑体"/>
          <w:b w:val="0"/>
          <w:bC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0"/>
          <w:sz w:val="32"/>
          <w:szCs w:val="32"/>
          <w:lang w:val="en-US" w:eastAsia="zh-CN"/>
        </w:rPr>
        <w:t>三、工作举措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72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" w:bidi="ar"/>
        </w:rPr>
      </w:pPr>
      <w:r>
        <w:rPr>
          <w:rFonts w:hint="eastAsia" w:ascii="楷体_GB2312" w:hAnsi="楷体_GB2312" w:eastAsia="楷体_GB2312" w:cs="楷体_GB2312"/>
          <w:b w:val="0"/>
          <w:bCs w:val="0"/>
          <w:spacing w:val="0"/>
          <w:sz w:val="32"/>
          <w:szCs w:val="32"/>
          <w:lang w:val="en-US" w:eastAsia="zh-CN"/>
        </w:rPr>
        <w:t>（一）</w:t>
      </w:r>
      <w:r>
        <w:rPr>
          <w:rFonts w:hint="eastAsia" w:ascii="楷体_GB2312" w:hAnsi="楷体_GB2312" w:eastAsia="楷体_GB2312" w:cs="楷体_GB2312"/>
          <w:b w:val="0"/>
          <w:bCs w:val="0"/>
          <w:spacing w:val="0"/>
          <w:sz w:val="32"/>
          <w:szCs w:val="32"/>
          <w:lang w:val="en-US" w:eastAsia="zh"/>
        </w:rPr>
        <w:t>狠抓</w:t>
      </w:r>
      <w:r>
        <w:rPr>
          <w:rFonts w:hint="eastAsia" w:ascii="楷体_GB2312" w:hAnsi="楷体_GB2312" w:eastAsia="楷体_GB2312" w:cs="楷体_GB2312"/>
          <w:b w:val="0"/>
          <w:bCs w:val="0"/>
          <w:spacing w:val="0"/>
          <w:sz w:val="32"/>
          <w:szCs w:val="32"/>
          <w:lang w:val="en-US" w:eastAsia="zh-CN"/>
        </w:rPr>
        <w:t>主体培育。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/>
          <w:lang w:val="en-US" w:eastAsia="zh" w:bidi="ar"/>
        </w:rPr>
        <w:t>聚焦“5+3”重点行业，瞄准龙头企业、隐形冠军企业，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/>
          <w:lang w:val="en-US" w:eastAsia="zh-CN" w:bidi="ar"/>
        </w:rPr>
        <w:t>争取设立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"/>
        </w:rPr>
        <w:t>研发、销售、采购、结算等功能型总部，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/>
          <w:lang w:val="en-US" w:eastAsia="zh" w:bidi="ar"/>
        </w:rPr>
        <w:t>依托优势产业开展链式招商，靶向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/>
          <w:lang w:eastAsia="zh" w:bidi="ar"/>
        </w:rPr>
        <w:t>引进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/>
          <w:lang w:val="en-US" w:eastAsia="zh-CN" w:bidi="ar"/>
        </w:rPr>
        <w:t>一批成长性高、竞争力强的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/>
          <w:lang w:val="en-US" w:eastAsia="zh" w:bidi="ar"/>
        </w:rPr>
        <w:t>生产性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/>
          <w:lang w:val="en-US" w:eastAsia="zh-CN" w:bidi="ar"/>
        </w:rPr>
        <w:t>服务业企业，大力发展首店经济、首发经济、首秀经济，加快集聚知名品牌首店、旗舰店、体验店，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"/>
        </w:rPr>
        <w:t>集聚高端资源，完善产业生态，形成新的增长极。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" w:bidi="ar"/>
        </w:rPr>
        <w:t>坚持存量培育和增量引进并重，统筹用好国家、省、市产业政策，引导小微企业升规升限，鼓励规上企业向“专精特新”跃升发展，不断提升企业创新力、竞争力和专业服务水平。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32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/>
          <w:lang w:val="en-US" w:eastAsia="zh" w:bidi="ar"/>
        </w:rPr>
      </w:pPr>
      <w:r>
        <w:rPr>
          <w:rFonts w:hint="eastAsia" w:ascii="楷体_GB2312" w:hAnsi="楷体_GB2312" w:eastAsia="楷体_GB2312" w:cs="楷体_GB2312"/>
          <w:b w:val="0"/>
          <w:bCs w:val="0"/>
          <w:spacing w:val="0"/>
          <w:sz w:val="32"/>
          <w:szCs w:val="32"/>
          <w:lang w:val="en-US" w:eastAsia="zh"/>
        </w:rPr>
        <w:t>（二）突破主辅分离。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" w:bidi="ar"/>
        </w:rPr>
        <w:t>紧盯先进制造业企业，以优化产业结构、提升产业附加值为目标，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"/>
        </w:rPr>
        <w:t>有序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" w:bidi="ar"/>
        </w:rPr>
        <w:t>剥离内部服务环节，稳妥有序推动分支机构独立核算纳统，裂变一批制造密切型服务业企业，提升产业专业化分工水平、社会化服务能力和市场化运作效能。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"/>
        </w:rPr>
        <w:t>支持化工新材料、装备制造、医药制造等行业企业剥离原料采购、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"/>
        </w:rPr>
        <w:t>研发设计、检验检测等业务板块；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/>
          <w:lang w:eastAsia="zh" w:bidi="ar"/>
        </w:rPr>
        <w:t>支持新型储能、特色半导体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/>
          <w:lang w:val="en-US" w:eastAsia="zh-CN" w:bidi="ar"/>
        </w:rPr>
        <w:t>等行业企业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"/>
        </w:rPr>
        <w:t>剥离软件开发、信息技术服务、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"/>
        </w:rPr>
        <w:t>设备安装、售后维修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auto"/>
          <w:lang w:eastAsia="zh" w:bidi="ar"/>
        </w:rPr>
        <w:t>等业务板块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auto"/>
          <w:lang w:eastAsia="zh-CN" w:bidi="ar"/>
        </w:rPr>
        <w:t>；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auto"/>
          <w:lang w:val="en-US" w:eastAsia="zh-CN" w:bidi="ar"/>
        </w:rPr>
        <w:t>鼓励有条件的企业剥离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"/>
        </w:rPr>
        <w:t>产品销售、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"/>
        </w:rPr>
        <w:t>现代物流、供应链管理、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"/>
        </w:rPr>
        <w:t>咨询管理、工业旅游等业务板块。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32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楷体_GB2312" w:hAnsi="楷体_GB2312" w:eastAsia="楷体_GB2312" w:cs="楷体_GB2312"/>
          <w:b w:val="0"/>
          <w:bCs w:val="0"/>
          <w:spacing w:val="0"/>
          <w:sz w:val="32"/>
          <w:szCs w:val="32"/>
          <w:lang w:val="en-US" w:eastAsia="zh-CN"/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spacing w:val="0"/>
          <w:sz w:val="32"/>
          <w:szCs w:val="32"/>
          <w:lang w:val="en-US" w:eastAsia="zh"/>
        </w:rPr>
        <w:t>三</w:t>
      </w:r>
      <w:r>
        <w:rPr>
          <w:rFonts w:hint="eastAsia" w:ascii="楷体_GB2312" w:hAnsi="楷体_GB2312" w:eastAsia="楷体_GB2312" w:cs="楷体_GB2312"/>
          <w:b w:val="0"/>
          <w:bCs w:val="0"/>
          <w:spacing w:val="0"/>
          <w:sz w:val="32"/>
          <w:szCs w:val="32"/>
          <w:lang w:val="en-US" w:eastAsia="zh-CN"/>
        </w:rPr>
        <w:t>）</w:t>
      </w:r>
      <w:r>
        <w:rPr>
          <w:rFonts w:hint="eastAsia" w:ascii="楷体_GB2312" w:hAnsi="楷体_GB2312" w:eastAsia="楷体_GB2312" w:cs="楷体_GB2312"/>
          <w:b w:val="0"/>
          <w:bCs w:val="0"/>
          <w:spacing w:val="0"/>
          <w:sz w:val="32"/>
          <w:szCs w:val="32"/>
          <w:lang w:val="en-US" w:eastAsia="zh"/>
        </w:rPr>
        <w:t>强化</w:t>
      </w:r>
      <w:r>
        <w:rPr>
          <w:rFonts w:hint="eastAsia" w:ascii="楷体_GB2312" w:hAnsi="楷体_GB2312" w:eastAsia="楷体_GB2312" w:cs="楷体_GB2312"/>
          <w:b w:val="0"/>
          <w:bCs w:val="0"/>
          <w:spacing w:val="0"/>
          <w:sz w:val="32"/>
          <w:szCs w:val="32"/>
          <w:lang w:val="en-US" w:eastAsia="zh-CN"/>
        </w:rPr>
        <w:t>载体</w:t>
      </w:r>
      <w:r>
        <w:rPr>
          <w:rFonts w:hint="eastAsia" w:ascii="楷体_GB2312" w:hAnsi="楷体_GB2312" w:eastAsia="楷体_GB2312" w:cs="楷体_GB2312"/>
          <w:b w:val="0"/>
          <w:bCs w:val="0"/>
          <w:spacing w:val="0"/>
          <w:sz w:val="32"/>
          <w:szCs w:val="32"/>
          <w:lang w:val="en-US" w:eastAsia="zh"/>
        </w:rPr>
        <w:t>支撑</w:t>
      </w:r>
      <w:r>
        <w:rPr>
          <w:rFonts w:hint="eastAsia" w:ascii="楷体_GB2312" w:hAnsi="楷体_GB2312" w:eastAsia="楷体_GB2312" w:cs="楷体_GB2312"/>
          <w:b w:val="0"/>
          <w:bCs w:val="0"/>
          <w:spacing w:val="0"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" w:bidi="ar"/>
        </w:rPr>
        <w:t>坚持规划先行，系统谋划服务业空间载体布局，大力推进各类服务业集聚区和特色商务楼宇建设，着力构建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"/>
        </w:rPr>
        <w:t>“一轴五区十园”发展格局。以长江路—北京路城市综合功能发展轴为核心，统筹推进长江路衡山路商务商业集聚区、金沙滩文化旅游示范区、八角湾科教创新区、高铁西站产城融合示范区、人工智能产业核心引领区等五大片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" w:bidi="ar"/>
        </w:rPr>
        <w:t>建设，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"/>
        </w:rPr>
        <w:t>重点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" w:bidi="ar"/>
        </w:rPr>
        <w:t>突破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"/>
        </w:rPr>
        <w:t>业达智汇科技园、自贸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" w:bidi="ar"/>
        </w:rPr>
        <w:t>区国际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"/>
        </w:rPr>
        <w:t>人才港、八角湾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" w:bidi="ar"/>
        </w:rPr>
        <w:t>国际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"/>
        </w:rPr>
        <w:t>科创中心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" w:bidi="ar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"/>
        </w:rPr>
        <w:t>中节能科技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" w:bidi="ar"/>
        </w:rPr>
        <w:t>产业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"/>
        </w:rPr>
        <w:t>园等十大生产性服务业示范园区，夯实服务业发展载体支撑。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32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pacing w:val="0"/>
          <w:sz w:val="32"/>
          <w:szCs w:val="32"/>
          <w:lang w:val="en-US" w:eastAsia="zh-CN"/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spacing w:val="0"/>
          <w:sz w:val="32"/>
          <w:szCs w:val="32"/>
          <w:lang w:val="en-US" w:eastAsia="zh"/>
        </w:rPr>
        <w:t>四</w:t>
      </w:r>
      <w:r>
        <w:rPr>
          <w:rFonts w:hint="eastAsia" w:ascii="楷体_GB2312" w:hAnsi="楷体_GB2312" w:eastAsia="楷体_GB2312" w:cs="楷体_GB2312"/>
          <w:b w:val="0"/>
          <w:bCs w:val="0"/>
          <w:spacing w:val="0"/>
          <w:sz w:val="32"/>
          <w:szCs w:val="32"/>
          <w:lang w:val="en-US" w:eastAsia="zh-CN"/>
        </w:rPr>
        <w:t>）</w:t>
      </w:r>
      <w:r>
        <w:rPr>
          <w:rFonts w:hint="eastAsia" w:ascii="楷体_GB2312" w:hAnsi="楷体_GB2312" w:eastAsia="楷体_GB2312" w:cs="楷体_GB2312"/>
          <w:b w:val="0"/>
          <w:bCs w:val="0"/>
          <w:spacing w:val="0"/>
          <w:sz w:val="32"/>
          <w:szCs w:val="32"/>
          <w:lang w:val="en-US" w:eastAsia="zh"/>
        </w:rPr>
        <w:t>深化</w:t>
      </w:r>
      <w:r>
        <w:rPr>
          <w:rFonts w:hint="eastAsia" w:ascii="楷体_GB2312" w:hAnsi="楷体_GB2312" w:eastAsia="楷体_GB2312" w:cs="楷体_GB2312"/>
          <w:b w:val="0"/>
          <w:bCs w:val="0"/>
          <w:spacing w:val="0"/>
          <w:sz w:val="32"/>
          <w:szCs w:val="32"/>
          <w:lang w:val="en-US" w:eastAsia="zh-CN"/>
        </w:rPr>
        <w:t>两业融合。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" w:bidi="ar"/>
        </w:rPr>
        <w:t>实施服务能力提升行动，以产业链优化整合和数字化转型为抓手，加快突破共享制造、个性化定制、总集成总承包、全生命周期管理等服务型制造新模式，推动制造业企业向“产品+服务”系统解决方案提供商转变。实施场景开放拓展行动，以新技术、新产品应用为抓手，结合新区产业实际进一步开放应用场景、搭建试点示范平台，打造具有区域特色和行业影响力的生产性服务业发展样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32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" w:bidi="ar"/>
        </w:rPr>
      </w:pPr>
      <w:r>
        <w:rPr>
          <w:rFonts w:hint="eastAsia" w:ascii="楷体_GB2312" w:hAnsi="楷体_GB2312" w:eastAsia="楷体_GB2312" w:cs="楷体_GB2312"/>
          <w:b w:val="0"/>
          <w:bCs w:val="0"/>
          <w:spacing w:val="0"/>
          <w:sz w:val="32"/>
          <w:szCs w:val="32"/>
          <w:lang w:val="en-US" w:eastAsia="zh-CN"/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spacing w:val="0"/>
          <w:sz w:val="32"/>
          <w:szCs w:val="32"/>
          <w:lang w:val="en-US" w:eastAsia="zh"/>
        </w:rPr>
        <w:t>五</w:t>
      </w:r>
      <w:r>
        <w:rPr>
          <w:rFonts w:hint="eastAsia" w:ascii="楷体_GB2312" w:hAnsi="楷体_GB2312" w:eastAsia="楷体_GB2312" w:cs="楷体_GB2312"/>
          <w:b w:val="0"/>
          <w:bCs w:val="0"/>
          <w:spacing w:val="0"/>
          <w:sz w:val="32"/>
          <w:szCs w:val="32"/>
          <w:lang w:val="en-US" w:eastAsia="zh-CN"/>
        </w:rPr>
        <w:t>）提速项目建设。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" w:bidi="ar"/>
        </w:rPr>
        <w:t>加强服务业项目谋划实施，集中储备一批优质项目，健全完善重点项目库，严格落实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"/>
        </w:rPr>
        <w:t>产业项目全生命周期管理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" w:bidi="ar"/>
        </w:rPr>
        <w:t>，建立定期调度、会商推进和跟踪问效机制，按照“签约项目抓落地、在建项目抢进度、竣工项目促投产”要求，倒排工期、动态跟进，积极扩大服务业投资，全力推动项目早落地、早建设、早投产、早纳统，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"/>
        </w:rPr>
        <w:t>以高质量项目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" w:bidi="ar"/>
        </w:rPr>
        <w:t>引领高质量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"/>
        </w:rPr>
        <w:t>发展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" w:bidi="ar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32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/>
          <w:lang w:eastAsia="zh" w:bidi="ar"/>
        </w:rPr>
      </w:pPr>
      <w:r>
        <w:rPr>
          <w:rFonts w:hint="eastAsia" w:ascii="楷体_GB2312" w:hAnsi="楷体_GB2312" w:eastAsia="楷体_GB2312" w:cs="楷体_GB2312"/>
          <w:b w:val="0"/>
          <w:bCs w:val="0"/>
          <w:spacing w:val="0"/>
          <w:sz w:val="32"/>
          <w:szCs w:val="32"/>
          <w:lang w:val="en-US" w:eastAsia="zh"/>
        </w:rPr>
        <w:t>（六）促进就业创业。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/>
          <w:lang w:val="en-US" w:eastAsia="zh-CN" w:bidi="ar"/>
        </w:rPr>
        <w:t>围绕增强就业吸纳力，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/>
          <w:lang w:eastAsia="zh" w:bidi="ar"/>
        </w:rPr>
        <w:t>加快构建高端生产性服务业产业集群，推动工作岗位从劳动密集型向知识密集型跃迁。统筹用好失业保险、就业补贴、税收优惠等国家普惠政策，叠加创业、融资等定向支持，降低中小服务业企业和个体工商户创业就业成本。发展壮大平台经济，通过服务外包、共享平台等模式衍生新业态岗位。加强服务业企业用工保障，支持生产性服务业领域灵活就业，完善适应新就业形态的劳动用工和社会保险政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720"/>
        <w:textAlignment w:val="auto"/>
        <w:rPr>
          <w:rFonts w:hint="eastAsia" w:ascii="黑体" w:hAnsi="黑体" w:eastAsia="黑体" w:cs="黑体"/>
          <w:b w:val="0"/>
          <w:bC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0"/>
          <w:sz w:val="32"/>
          <w:szCs w:val="32"/>
          <w:lang w:val="en-US" w:eastAsia="zh-CN"/>
        </w:rPr>
        <w:t>四、组织保障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72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"/>
        </w:rPr>
      </w:pPr>
      <w:r>
        <w:rPr>
          <w:rFonts w:hint="eastAsia" w:ascii="楷体_GB2312" w:hAnsi="楷体_GB2312" w:eastAsia="楷体_GB2312" w:cs="楷体_GB2312"/>
          <w:b w:val="0"/>
          <w:bCs w:val="0"/>
          <w:spacing w:val="0"/>
          <w:sz w:val="32"/>
          <w:szCs w:val="32"/>
          <w:lang w:val="en-US" w:eastAsia="zh-CN"/>
        </w:rPr>
        <w:t>（一）</w:t>
      </w:r>
      <w:r>
        <w:rPr>
          <w:rFonts w:hint="eastAsia" w:ascii="楷体_GB2312" w:hAnsi="楷体_GB2312" w:eastAsia="楷体_GB2312" w:cs="楷体_GB2312"/>
          <w:b w:val="0"/>
          <w:bCs w:val="0"/>
          <w:spacing w:val="0"/>
          <w:sz w:val="32"/>
          <w:szCs w:val="32"/>
          <w:lang w:val="en-US" w:eastAsia="zh"/>
        </w:rPr>
        <w:t>加强组织领导</w:t>
      </w:r>
      <w:r>
        <w:rPr>
          <w:rFonts w:hint="eastAsia" w:ascii="楷体_GB2312" w:hAnsi="楷体_GB2312" w:eastAsia="楷体_GB2312" w:cs="楷体_GB2312"/>
          <w:b w:val="0"/>
          <w:bCs w:val="0"/>
          <w:spacing w:val="0"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"/>
        </w:rPr>
        <w:t>按照“管委统筹、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/>
        </w:rPr>
        <w:t>专班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"/>
        </w:rPr>
        <w:t>牵头、行业负责、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/>
        </w:rPr>
        <w:t>属地协同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"/>
        </w:rPr>
        <w:t>”工作思路，建立全区服务业扩能提质统筹联动工作机制，系统推进全区服务业扩能提质工作。机制由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/>
        </w:rPr>
        <w:t>管委主要领导担任总召集人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"/>
        </w:rPr>
        <w:t>，工委管委相关领导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/>
        </w:rPr>
        <w:t>担任副召集人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"/>
        </w:rPr>
        <w:t>，各镇街和有关部门单位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/>
        </w:rPr>
        <w:t>分工负责，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lang w:val="en-US" w:eastAsia="zh-CN"/>
        </w:rPr>
        <w:t>强化行业运行调度分析，稳定规上限上企业盘子，协同推进项目招引建设，紧盯行业主体升规升限，积极推动主辅分离，深入谋划创新性、引领性重点工作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"/>
        </w:rPr>
        <w:t>，确保服务业发展各项任务落地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/>
        </w:rPr>
        <w:t>见效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72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pacing w:val="0"/>
          <w:sz w:val="32"/>
          <w:szCs w:val="32"/>
          <w:lang w:val="en-US" w:eastAsia="zh-CN"/>
        </w:rPr>
        <w:t>（二）强化清单管理。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lang w:val="en-US" w:eastAsia="zh-CN"/>
        </w:rPr>
        <w:t>建立服务业在库规上限上单位、退库风险预警企业、升规纳统培育企业、主辅分离标的企业、新签约招引项目、重点在建项目等“六张清单”，实行全过程链条式管理，形成梯次推进调度机制。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"/>
        </w:rPr>
        <w:t>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/>
        </w:rPr>
        <w:t>行业主管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"/>
        </w:rPr>
        <w:t>部门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>落实“管行业就要管发展”主体责任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lang w:val="en-US" w:eastAsia="zh-CN"/>
        </w:rPr>
        <w:t>，抓紧抓实各自行业领域重要工作、重点项目、重大事项，细化工作举措、压实工作责任，促进各项任务规范高效推进。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32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"/>
        </w:rPr>
      </w:pPr>
      <w:r>
        <w:rPr>
          <w:rFonts w:hint="eastAsia" w:ascii="楷体_GB2312" w:hAnsi="楷体_GB2312" w:eastAsia="楷体_GB2312" w:cs="楷体_GB2312"/>
          <w:b w:val="0"/>
          <w:bCs w:val="0"/>
          <w:spacing w:val="0"/>
          <w:sz w:val="32"/>
          <w:szCs w:val="32"/>
          <w:lang w:val="en-US" w:eastAsia="zh-CN"/>
        </w:rPr>
        <w:t>（三）夯实</w:t>
      </w:r>
      <w:r>
        <w:rPr>
          <w:rFonts w:hint="eastAsia" w:ascii="楷体_GB2312" w:hAnsi="楷体_GB2312" w:eastAsia="楷体_GB2312" w:cs="楷体_GB2312"/>
          <w:b w:val="0"/>
          <w:bCs w:val="0"/>
          <w:spacing w:val="0"/>
          <w:sz w:val="32"/>
          <w:szCs w:val="32"/>
          <w:lang w:val="en-US" w:eastAsia="zh"/>
        </w:rPr>
        <w:t>要素保障。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/>
        </w:rPr>
        <w:t>研究出台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/>
        </w:rPr>
        <w:t>促进服务业扩能提质的若干措施，设立区级服务业引导资金，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"/>
        </w:rPr>
        <w:t>加大企业扶持力度，助力服务业高质量发展。支持盘活存量厂房、低效土地，探索创新型产业用地模式，鼓励采用长期租赁、先租后让、弹性年期出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/>
        </w:rPr>
        <w:t>让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"/>
        </w:rPr>
        <w:t>等灵活供地方式。全力保障省市重点项目建设，在融资、用地、用能及算力需求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/>
        </w:rPr>
        <w:t>等方面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"/>
        </w:rPr>
        <w:t>给予适当倾斜。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32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napToGrid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pacing w:val="0"/>
          <w:sz w:val="32"/>
          <w:szCs w:val="32"/>
          <w:lang w:val="en-US" w:eastAsia="zh-CN"/>
        </w:rPr>
        <w:t>（四）优化营商</w:t>
      </w:r>
      <w:r>
        <w:rPr>
          <w:rFonts w:hint="eastAsia" w:ascii="楷体_GB2312" w:hAnsi="楷体_GB2312" w:eastAsia="楷体_GB2312" w:cs="楷体_GB2312"/>
          <w:b w:val="0"/>
          <w:bCs w:val="0"/>
          <w:spacing w:val="0"/>
          <w:sz w:val="32"/>
          <w:szCs w:val="32"/>
          <w:lang w:val="en-US" w:eastAsia="zh"/>
        </w:rPr>
        <w:t>环境</w:t>
      </w:r>
      <w:r>
        <w:rPr>
          <w:rFonts w:hint="eastAsia" w:ascii="楷体_GB2312" w:hAnsi="楷体_GB2312" w:eastAsia="楷体_GB2312" w:cs="楷体_GB2312"/>
          <w:b w:val="0"/>
          <w:bCs w:val="0"/>
          <w:spacing w:val="0"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"/>
        </w:rPr>
        <w:t>健全服务业重点领域统计指标体系，科学有效评估各行业发展质效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/>
        </w:rPr>
        <w:t>。支持行业协会、中介机构、非营利事业单位等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"/>
        </w:rPr>
        <w:t>健康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/>
        </w:rPr>
        <w:t>发展，逐步完善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"/>
        </w:rPr>
        <w:t>服务业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/>
        </w:rPr>
        <w:t>产业生态。深化“放管服”改革，对新产业、新业态、新模式实施包容审慎监管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/>
        </w:rPr>
        <w:t>破除市场准入壁垒，打造公平、透明、可预期的法治化营商环境。</w:t>
      </w:r>
    </w:p>
    <w:p>
      <w:pPr>
        <w:rPr>
          <w:rFonts w:hint="eastAsia"/>
          <w:b w:val="0"/>
          <w:bCs w:val="0"/>
          <w:lang w:val="en-US" w:eastAsia="zh-CN"/>
        </w:rPr>
      </w:pPr>
    </w:p>
    <w:p>
      <w:pPr>
        <w:pStyle w:val="7"/>
        <w:rPr>
          <w:rFonts w:hint="eastAsia"/>
          <w:b w:val="0"/>
          <w:bCs w:val="0"/>
          <w:lang w:val="en-US" w:eastAsia="zh-CN"/>
        </w:rPr>
      </w:pPr>
    </w:p>
    <w:p>
      <w:pPr>
        <w:rPr>
          <w:rFonts w:hint="eastAsia"/>
          <w:b w:val="0"/>
          <w:bCs w:val="0"/>
          <w:lang w:val="en-US" w:eastAsia="zh-CN"/>
        </w:rPr>
      </w:pPr>
    </w:p>
    <w:p>
      <w:pPr>
        <w:pStyle w:val="7"/>
        <w:rPr>
          <w:rFonts w:hint="eastAsia"/>
          <w:b w:val="0"/>
          <w:bCs w:val="0"/>
          <w:lang w:val="en-US" w:eastAsia="zh-CN"/>
        </w:rPr>
      </w:pPr>
    </w:p>
    <w:p>
      <w:pPr>
        <w:rPr>
          <w:rFonts w:hint="eastAsia"/>
          <w:b w:val="0"/>
          <w:bCs w:val="0"/>
          <w:lang w:val="en-US" w:eastAsia="zh-CN"/>
        </w:rPr>
      </w:pPr>
    </w:p>
    <w:p>
      <w:pPr>
        <w:pStyle w:val="7"/>
        <w:rPr>
          <w:rFonts w:hint="eastAsia"/>
          <w:b w:val="0"/>
          <w:bCs w:val="0"/>
          <w:lang w:val="en-US" w:eastAsia="zh-CN"/>
        </w:rPr>
      </w:pPr>
    </w:p>
    <w:p>
      <w:pPr>
        <w:rPr>
          <w:rFonts w:hint="eastAsia"/>
          <w:b w:val="0"/>
          <w:bCs w:val="0"/>
          <w:lang w:val="en-US" w:eastAsia="zh-CN"/>
        </w:rPr>
      </w:pPr>
    </w:p>
    <w:p>
      <w:pPr>
        <w:pStyle w:val="7"/>
        <w:rPr>
          <w:rFonts w:hint="eastAsia"/>
          <w:b w:val="0"/>
          <w:bCs w:val="0"/>
          <w:lang w:val="en-US" w:eastAsia="zh-CN"/>
        </w:rPr>
      </w:pPr>
    </w:p>
    <w:p>
      <w:pPr>
        <w:rPr>
          <w:rFonts w:hint="eastAsia"/>
          <w:b w:val="0"/>
          <w:bCs w:val="0"/>
          <w:lang w:val="en-US" w:eastAsia="zh-CN"/>
        </w:rPr>
      </w:pPr>
    </w:p>
    <w:p>
      <w:pPr>
        <w:pStyle w:val="7"/>
        <w:rPr>
          <w:rFonts w:hint="eastAsia"/>
          <w:b w:val="0"/>
          <w:bCs w:val="0"/>
          <w:lang w:val="en-US" w:eastAsia="zh-CN"/>
        </w:rPr>
      </w:pPr>
    </w:p>
    <w:p>
      <w:pPr>
        <w:rPr>
          <w:rFonts w:hint="eastAsia"/>
          <w:b w:val="0"/>
          <w:bCs w:val="0"/>
          <w:lang w:val="en-US" w:eastAsia="zh-CN"/>
        </w:rPr>
      </w:pPr>
    </w:p>
    <w:p>
      <w:pPr>
        <w:pStyle w:val="7"/>
        <w:rPr>
          <w:rFonts w:hint="eastAsia"/>
          <w:b w:val="0"/>
          <w:bCs w:val="0"/>
          <w:lang w:val="en-US" w:eastAsia="zh-CN"/>
        </w:rPr>
      </w:pPr>
    </w:p>
    <w:p>
      <w:pPr>
        <w:rPr>
          <w:rFonts w:hint="eastAsia"/>
          <w:b w:val="0"/>
          <w:bCs w:val="0"/>
          <w:lang w:val="en-US" w:eastAsia="zh-CN"/>
        </w:rPr>
      </w:pPr>
    </w:p>
    <w:p>
      <w:pPr>
        <w:pStyle w:val="7"/>
        <w:rPr>
          <w:rFonts w:hint="eastAsia"/>
          <w:b w:val="0"/>
          <w:bCs w:val="0"/>
          <w:lang w:val="en-US" w:eastAsia="zh-CN"/>
        </w:rPr>
      </w:pPr>
    </w:p>
    <w:p>
      <w:pPr>
        <w:rPr>
          <w:rFonts w:hint="eastAsia"/>
          <w:b w:val="0"/>
          <w:bCs w:val="0"/>
          <w:lang w:val="en-US" w:eastAsia="zh-CN"/>
        </w:rPr>
      </w:pP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rPr>
          <w:rFonts w:hint="eastAsia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rPr>
          <w:rFonts w:hint="eastAsia"/>
          <w:b w:val="0"/>
          <w:bCs w:val="0"/>
          <w:sz w:val="32"/>
          <w:szCs w:val="32"/>
          <w:lang w:val="en-US" w:eastAsia="zh-CN"/>
        </w:rPr>
      </w:pP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rPr>
          <w:rFonts w:hint="eastAsia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rPr>
          <w:rFonts w:hint="eastAsia"/>
          <w:sz w:val="32"/>
          <w:szCs w:val="32"/>
          <w:lang w:val="en-US" w:eastAsia="zh-CN"/>
        </w:rPr>
      </w:pP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/>
          <w:b w:val="0"/>
          <w:bCs w:val="0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rPr>
          <w:rFonts w:hint="eastAsia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rPr>
          <w:rFonts w:hint="eastAsia"/>
          <w:b w:val="0"/>
          <w:bCs w:val="0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rPr>
          <w:rFonts w:hint="eastAsia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rPr>
          <w:rFonts w:hint="eastAsia"/>
          <w:b w:val="0"/>
          <w:bCs w:val="0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rPr>
          <w:rFonts w:hint="eastAsia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rPr>
          <w:rFonts w:hint="eastAsia"/>
          <w:b w:val="0"/>
          <w:bCs w:val="0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rPr>
          <w:rFonts w:hint="eastAsia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rPr>
          <w:rFonts w:hint="eastAsia"/>
          <w:b w:val="0"/>
          <w:bCs w:val="0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baseline"/>
        <w:rPr>
          <w:rFonts w:hint="eastAsia"/>
          <w:sz w:val="32"/>
          <w:szCs w:val="32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/>
          <w:b w:val="0"/>
          <w:bCs w:val="0"/>
          <w:sz w:val="32"/>
          <w:szCs w:val="32"/>
          <w:lang w:val="en-US" w:eastAsia="zh-CN"/>
        </w:rPr>
      </w:pPr>
    </w:p>
    <w:p>
      <w:pPr>
        <w:ind w:firstLine="276" w:firstLineChars="100"/>
        <w:rPr>
          <w:rFonts w:hint="eastAsia" w:eastAsia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</w:rPr>
        <w:t>信息公开选项：</w:t>
      </w:r>
      <w:r>
        <w:rPr>
          <w:rFonts w:hint="eastAsia"/>
          <w:b w:val="0"/>
          <w:bCs w:val="0"/>
          <w:sz w:val="28"/>
          <w:szCs w:val="28"/>
          <w:lang w:eastAsia="zh-CN"/>
        </w:rPr>
        <w:t>主动公开</w:t>
      </w:r>
    </w:p>
    <w:p>
      <w:pPr>
        <w:ind w:left="1264" w:leftChars="100" w:right="316" w:rightChars="100" w:hanging="948" w:hangingChars="300"/>
        <w:rPr>
          <w:rFonts w:hint="eastAsia"/>
          <w:b w:val="0"/>
          <w:bCs w:val="0"/>
        </w:rPr>
      </w:pPr>
      <w:r>
        <w:rPr>
          <w:b w:val="0"/>
          <w:bCs w:val="0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367665</wp:posOffset>
                </wp:positionV>
                <wp:extent cx="5615940" cy="0"/>
                <wp:effectExtent l="0" t="0" r="0" b="0"/>
                <wp:wrapNone/>
                <wp:docPr id="4" name="直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" o:spid="_x0000_s1026" o:spt="20" style="position:absolute;left:0pt;margin-left:0pt;margin-top:28.95pt;height:0pt;width:442.2pt;z-index:251662336;mso-width-relative:page;mso-height-relative:page;" filled="f" stroked="t" coordsize="21600,21600" o:gfxdata="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CXS4WrUAAAABgEAAA8AAAAAAAAAAQAgAAAAIgAA&#10;AGRycy9kb3ducmV2LnhtbFBLAQIUABQAAAAIAIdO4kCu5tP80wEAAJsDAAAOAAAAAAAAAAEAIAAA&#10;ACMBAABkcnMvZTJvRG9jLnhtbFBLBQYAAAAABgAGAFkBAABo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/>
          <w:b w:val="0"/>
          <w:bCs w:val="0"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615940" cy="0"/>
                <wp:effectExtent l="0" t="0" r="0" b="0"/>
                <wp:wrapNone/>
                <wp:docPr id="3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42.2pt;z-index:251661312;mso-width-relative:page;mso-height-relative:page;" filled="f" stroked="t" coordsize="21600,21600" o:gfxdata="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CYcM1m0gAAAAIBAAAPAAAAAAAAAAEAIAAAACIAAABk&#10;cnMvZG93bnJldi54bWxQSwECFAAUAAAACACHTuJAp9I/OdMBAACbAwAADgAAAAAAAAABACAAAAAh&#10;AQAAZHJzL2Uyb0RvYy54bWxQSwUGAAAAAAYABgBZAQAAZ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/>
          <w:b w:val="0"/>
          <w:bCs w:val="0"/>
          <w:sz w:val="28"/>
          <w:szCs w:val="32"/>
        </w:rPr>
        <w:t>烟台</w:t>
      </w:r>
      <w:r>
        <w:rPr>
          <w:rFonts w:hint="eastAsia" w:ascii="仿宋_GB2312"/>
          <w:b w:val="0"/>
          <w:bCs w:val="0"/>
          <w:sz w:val="28"/>
          <w:szCs w:val="32"/>
          <w:lang w:eastAsia="zh-CN"/>
        </w:rPr>
        <w:t>黄渤海新区</w:t>
      </w:r>
      <w:r>
        <w:rPr>
          <w:rFonts w:hint="eastAsia" w:ascii="仿宋_GB2312"/>
          <w:b w:val="0"/>
          <w:bCs w:val="0"/>
          <w:sz w:val="28"/>
          <w:szCs w:val="32"/>
        </w:rPr>
        <w:t>管委办公室</w:t>
      </w:r>
      <w:r>
        <w:rPr>
          <w:rFonts w:hint="eastAsia" w:ascii="仿宋_GB2312"/>
          <w:b w:val="0"/>
          <w:bCs w:val="0"/>
          <w:sz w:val="28"/>
          <w:szCs w:val="32"/>
          <w:lang w:eastAsia="zh-CN"/>
        </w:rPr>
        <w:t xml:space="preserve">            </w:t>
      </w:r>
      <w:r>
        <w:rPr>
          <w:rFonts w:hint="eastAsia" w:ascii="仿宋_GB2312"/>
          <w:b w:val="0"/>
          <w:bCs w:val="0"/>
          <w:sz w:val="28"/>
          <w:szCs w:val="32"/>
          <w:lang w:val="en-US" w:eastAsia="zh-CN"/>
        </w:rPr>
        <w:t xml:space="preserve"> </w:t>
      </w:r>
      <w:r>
        <w:rPr>
          <w:rFonts w:hint="eastAsia" w:ascii="仿宋_GB2312"/>
          <w:b w:val="0"/>
          <w:bCs w:val="0"/>
          <w:sz w:val="28"/>
          <w:szCs w:val="32"/>
          <w:lang w:eastAsia="zh-CN"/>
        </w:rPr>
        <w:t xml:space="preserve">  </w:t>
      </w:r>
      <w:r>
        <w:rPr>
          <w:rFonts w:hint="eastAsia" w:ascii="仿宋_GB2312"/>
          <w:b w:val="0"/>
          <w:bCs w:val="0"/>
          <w:sz w:val="28"/>
          <w:szCs w:val="32"/>
          <w:lang w:val="en-US" w:eastAsia="zh-CN"/>
        </w:rPr>
        <w:t xml:space="preserve"> </w:t>
      </w:r>
      <w:r>
        <w:rPr>
          <w:rFonts w:hint="eastAsia" w:ascii="仿宋_GB2312"/>
          <w:b w:val="0"/>
          <w:bCs w:val="0"/>
          <w:sz w:val="28"/>
          <w:szCs w:val="32"/>
        </w:rPr>
        <w:t xml:space="preserve"> 20</w:t>
      </w:r>
      <w:r>
        <w:rPr>
          <w:rFonts w:hint="eastAsia" w:ascii="仿宋_GB2312"/>
          <w:b w:val="0"/>
          <w:bCs w:val="0"/>
          <w:sz w:val="28"/>
          <w:szCs w:val="32"/>
          <w:lang w:val="en-US" w:eastAsia="zh-CN"/>
        </w:rPr>
        <w:t>26</w:t>
      </w:r>
      <w:r>
        <w:rPr>
          <w:rFonts w:hint="eastAsia" w:ascii="仿宋_GB2312"/>
          <w:b w:val="0"/>
          <w:bCs w:val="0"/>
          <w:sz w:val="28"/>
          <w:szCs w:val="32"/>
        </w:rPr>
        <w:t>年</w:t>
      </w:r>
      <w:r>
        <w:rPr>
          <w:rFonts w:hint="eastAsia" w:ascii="仿宋_GB2312"/>
          <w:b w:val="0"/>
          <w:bCs w:val="0"/>
          <w:sz w:val="28"/>
          <w:szCs w:val="32"/>
          <w:lang w:val="en-US" w:eastAsia="zh-CN"/>
        </w:rPr>
        <w:t>4</w:t>
      </w:r>
      <w:r>
        <w:rPr>
          <w:rFonts w:hint="eastAsia" w:ascii="仿宋_GB2312"/>
          <w:b w:val="0"/>
          <w:bCs w:val="0"/>
          <w:sz w:val="28"/>
          <w:szCs w:val="32"/>
        </w:rPr>
        <w:t>月</w:t>
      </w:r>
      <w:r>
        <w:rPr>
          <w:rFonts w:hint="eastAsia" w:ascii="仿宋_GB2312"/>
          <w:b w:val="0"/>
          <w:bCs w:val="0"/>
          <w:sz w:val="28"/>
          <w:szCs w:val="32"/>
          <w:lang w:val="en-US" w:eastAsia="zh-CN"/>
        </w:rPr>
        <w:t>2</w:t>
      </w:r>
      <w:r>
        <w:rPr>
          <w:rFonts w:hint="eastAsia" w:ascii="仿宋_GB2312"/>
          <w:b w:val="0"/>
          <w:bCs w:val="0"/>
          <w:sz w:val="28"/>
          <w:szCs w:val="32"/>
        </w:rPr>
        <w:t>日印发</w:t>
      </w:r>
    </w:p>
    <w:sectPr>
      <w:footerReference r:id="rId5" w:type="default"/>
      <w:pgSz w:w="11906" w:h="16838"/>
      <w:pgMar w:top="2098" w:right="1531" w:bottom="1984" w:left="1531" w:header="851" w:footer="1587" w:gutter="0"/>
      <w:pgNumType w:fmt="decimal"/>
      <w:cols w:space="0" w:num="1"/>
      <w:rtlGutter w:val="0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小标宋">
    <w:altName w:val="方正粗宋简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粗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  <w:tabs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5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R1yZa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5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  <w:tabs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5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t>12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NTVs2A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5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t>12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58"/>
  <w:drawingGridVerticalSpacing w:val="290"/>
  <w:displayHorizontalDrawingGridEvery w:val="2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YyZTNjOGMyNjdiNGU0YzQ3MWVkNzRhMDQwM2FkZGIifQ=="/>
  </w:docVars>
  <w:rsids>
    <w:rsidRoot w:val="008B7786"/>
    <w:rsid w:val="00010AB1"/>
    <w:rsid w:val="000169A0"/>
    <w:rsid w:val="00017BA8"/>
    <w:rsid w:val="00024431"/>
    <w:rsid w:val="00030D79"/>
    <w:rsid w:val="00041477"/>
    <w:rsid w:val="00052FC9"/>
    <w:rsid w:val="0005500E"/>
    <w:rsid w:val="00070182"/>
    <w:rsid w:val="00072C02"/>
    <w:rsid w:val="00073727"/>
    <w:rsid w:val="00075437"/>
    <w:rsid w:val="000811F5"/>
    <w:rsid w:val="00085488"/>
    <w:rsid w:val="00095A31"/>
    <w:rsid w:val="000A08EB"/>
    <w:rsid w:val="000B4430"/>
    <w:rsid w:val="000C44EC"/>
    <w:rsid w:val="000C4D3D"/>
    <w:rsid w:val="000C4DFA"/>
    <w:rsid w:val="000C6CA4"/>
    <w:rsid w:val="000D3170"/>
    <w:rsid w:val="000D36BF"/>
    <w:rsid w:val="000D46E3"/>
    <w:rsid w:val="000E5B6E"/>
    <w:rsid w:val="000F6F43"/>
    <w:rsid w:val="00103867"/>
    <w:rsid w:val="0010449D"/>
    <w:rsid w:val="00106E10"/>
    <w:rsid w:val="00106FB6"/>
    <w:rsid w:val="00114A7F"/>
    <w:rsid w:val="00123674"/>
    <w:rsid w:val="001273DA"/>
    <w:rsid w:val="0013251A"/>
    <w:rsid w:val="00136529"/>
    <w:rsid w:val="00136D2A"/>
    <w:rsid w:val="001379FE"/>
    <w:rsid w:val="00142BA2"/>
    <w:rsid w:val="00153210"/>
    <w:rsid w:val="00170808"/>
    <w:rsid w:val="00174E43"/>
    <w:rsid w:val="001772F3"/>
    <w:rsid w:val="00187E43"/>
    <w:rsid w:val="0019204B"/>
    <w:rsid w:val="0019493D"/>
    <w:rsid w:val="001A4E62"/>
    <w:rsid w:val="001B7051"/>
    <w:rsid w:val="001C08C6"/>
    <w:rsid w:val="001C0AF5"/>
    <w:rsid w:val="001C35EB"/>
    <w:rsid w:val="001C4E27"/>
    <w:rsid w:val="001C6AA0"/>
    <w:rsid w:val="001E042E"/>
    <w:rsid w:val="001E289F"/>
    <w:rsid w:val="001E313A"/>
    <w:rsid w:val="001F1E57"/>
    <w:rsid w:val="002027E8"/>
    <w:rsid w:val="00204DF0"/>
    <w:rsid w:val="0020568D"/>
    <w:rsid w:val="002078AE"/>
    <w:rsid w:val="002102BB"/>
    <w:rsid w:val="0021113E"/>
    <w:rsid w:val="00213774"/>
    <w:rsid w:val="002139BC"/>
    <w:rsid w:val="002154A4"/>
    <w:rsid w:val="00220D44"/>
    <w:rsid w:val="0022257C"/>
    <w:rsid w:val="00232109"/>
    <w:rsid w:val="0025135F"/>
    <w:rsid w:val="002532EB"/>
    <w:rsid w:val="002559BC"/>
    <w:rsid w:val="002744D9"/>
    <w:rsid w:val="00274E44"/>
    <w:rsid w:val="00297E0D"/>
    <w:rsid w:val="002C2E9B"/>
    <w:rsid w:val="002C4A49"/>
    <w:rsid w:val="002D3A60"/>
    <w:rsid w:val="002D41FD"/>
    <w:rsid w:val="002F2ABD"/>
    <w:rsid w:val="002F5A5A"/>
    <w:rsid w:val="00307089"/>
    <w:rsid w:val="003137BD"/>
    <w:rsid w:val="00316A2E"/>
    <w:rsid w:val="00331399"/>
    <w:rsid w:val="00332127"/>
    <w:rsid w:val="003326E7"/>
    <w:rsid w:val="0034465A"/>
    <w:rsid w:val="00345B67"/>
    <w:rsid w:val="00345D7F"/>
    <w:rsid w:val="00351272"/>
    <w:rsid w:val="0036046B"/>
    <w:rsid w:val="00373ABD"/>
    <w:rsid w:val="003808C2"/>
    <w:rsid w:val="00381F0F"/>
    <w:rsid w:val="00384626"/>
    <w:rsid w:val="0038633B"/>
    <w:rsid w:val="003951D9"/>
    <w:rsid w:val="003960D7"/>
    <w:rsid w:val="0039710E"/>
    <w:rsid w:val="0039717A"/>
    <w:rsid w:val="003A1118"/>
    <w:rsid w:val="003A2189"/>
    <w:rsid w:val="003A28B2"/>
    <w:rsid w:val="003A58ED"/>
    <w:rsid w:val="003B17CC"/>
    <w:rsid w:val="003C0E2D"/>
    <w:rsid w:val="003C256C"/>
    <w:rsid w:val="003C485B"/>
    <w:rsid w:val="003C6916"/>
    <w:rsid w:val="003D6247"/>
    <w:rsid w:val="003E47A1"/>
    <w:rsid w:val="003E5E3B"/>
    <w:rsid w:val="003F60C3"/>
    <w:rsid w:val="00401B74"/>
    <w:rsid w:val="00403BC0"/>
    <w:rsid w:val="00411B8B"/>
    <w:rsid w:val="00413902"/>
    <w:rsid w:val="00413A06"/>
    <w:rsid w:val="0041564B"/>
    <w:rsid w:val="00415B86"/>
    <w:rsid w:val="00415D94"/>
    <w:rsid w:val="00420925"/>
    <w:rsid w:val="004316F2"/>
    <w:rsid w:val="004436FB"/>
    <w:rsid w:val="00443715"/>
    <w:rsid w:val="0045066E"/>
    <w:rsid w:val="00460B25"/>
    <w:rsid w:val="00476A55"/>
    <w:rsid w:val="00480C7B"/>
    <w:rsid w:val="00481B9B"/>
    <w:rsid w:val="004852C3"/>
    <w:rsid w:val="0048606C"/>
    <w:rsid w:val="0049061E"/>
    <w:rsid w:val="004943B0"/>
    <w:rsid w:val="004952BA"/>
    <w:rsid w:val="004A0018"/>
    <w:rsid w:val="004A2F80"/>
    <w:rsid w:val="004A6760"/>
    <w:rsid w:val="004B3D70"/>
    <w:rsid w:val="004B4374"/>
    <w:rsid w:val="004C2140"/>
    <w:rsid w:val="004C2436"/>
    <w:rsid w:val="004C309E"/>
    <w:rsid w:val="004D0BAD"/>
    <w:rsid w:val="004D6A2F"/>
    <w:rsid w:val="004D6B0C"/>
    <w:rsid w:val="004D79D4"/>
    <w:rsid w:val="004E0B5F"/>
    <w:rsid w:val="004E6879"/>
    <w:rsid w:val="004F0E32"/>
    <w:rsid w:val="004F1FFA"/>
    <w:rsid w:val="004F30E4"/>
    <w:rsid w:val="004F5424"/>
    <w:rsid w:val="00501877"/>
    <w:rsid w:val="00504B76"/>
    <w:rsid w:val="005051DF"/>
    <w:rsid w:val="0053130B"/>
    <w:rsid w:val="00534A37"/>
    <w:rsid w:val="0054409C"/>
    <w:rsid w:val="005441FB"/>
    <w:rsid w:val="005461D0"/>
    <w:rsid w:val="00547AE3"/>
    <w:rsid w:val="00555A2F"/>
    <w:rsid w:val="00561BEB"/>
    <w:rsid w:val="00567706"/>
    <w:rsid w:val="005716E0"/>
    <w:rsid w:val="00571888"/>
    <w:rsid w:val="0057581F"/>
    <w:rsid w:val="00580894"/>
    <w:rsid w:val="0058263C"/>
    <w:rsid w:val="00582F6F"/>
    <w:rsid w:val="005858AF"/>
    <w:rsid w:val="005A40CA"/>
    <w:rsid w:val="005B0EF3"/>
    <w:rsid w:val="005E104C"/>
    <w:rsid w:val="005E3D12"/>
    <w:rsid w:val="005E61B4"/>
    <w:rsid w:val="005F14ED"/>
    <w:rsid w:val="005F4349"/>
    <w:rsid w:val="005F53B2"/>
    <w:rsid w:val="006132DB"/>
    <w:rsid w:val="00615B78"/>
    <w:rsid w:val="00617996"/>
    <w:rsid w:val="0062047B"/>
    <w:rsid w:val="00621CFF"/>
    <w:rsid w:val="006264BB"/>
    <w:rsid w:val="0065763F"/>
    <w:rsid w:val="0067018E"/>
    <w:rsid w:val="00671D61"/>
    <w:rsid w:val="006915B8"/>
    <w:rsid w:val="006956FD"/>
    <w:rsid w:val="006A1FE8"/>
    <w:rsid w:val="006A519B"/>
    <w:rsid w:val="006B0E87"/>
    <w:rsid w:val="006B3D0E"/>
    <w:rsid w:val="006B51AB"/>
    <w:rsid w:val="006C0FFB"/>
    <w:rsid w:val="006C269A"/>
    <w:rsid w:val="006C7932"/>
    <w:rsid w:val="006E1C85"/>
    <w:rsid w:val="006E325F"/>
    <w:rsid w:val="00700B88"/>
    <w:rsid w:val="0070445B"/>
    <w:rsid w:val="00710DAC"/>
    <w:rsid w:val="007116F1"/>
    <w:rsid w:val="00720828"/>
    <w:rsid w:val="00741A6F"/>
    <w:rsid w:val="00746429"/>
    <w:rsid w:val="007475FA"/>
    <w:rsid w:val="00753137"/>
    <w:rsid w:val="00762713"/>
    <w:rsid w:val="007635BF"/>
    <w:rsid w:val="00767F27"/>
    <w:rsid w:val="00787BF4"/>
    <w:rsid w:val="00787E06"/>
    <w:rsid w:val="0079442F"/>
    <w:rsid w:val="00794C35"/>
    <w:rsid w:val="007A0FEC"/>
    <w:rsid w:val="007B0FC3"/>
    <w:rsid w:val="007B13DE"/>
    <w:rsid w:val="007B7ABF"/>
    <w:rsid w:val="007D1061"/>
    <w:rsid w:val="007D3F89"/>
    <w:rsid w:val="007D599D"/>
    <w:rsid w:val="007E1492"/>
    <w:rsid w:val="007E2E9E"/>
    <w:rsid w:val="007E3B76"/>
    <w:rsid w:val="007F4050"/>
    <w:rsid w:val="007F4628"/>
    <w:rsid w:val="0080712B"/>
    <w:rsid w:val="00831B76"/>
    <w:rsid w:val="00832567"/>
    <w:rsid w:val="0083683F"/>
    <w:rsid w:val="00845E05"/>
    <w:rsid w:val="008513D6"/>
    <w:rsid w:val="00865168"/>
    <w:rsid w:val="008676E9"/>
    <w:rsid w:val="00874C4B"/>
    <w:rsid w:val="00875BF3"/>
    <w:rsid w:val="00877893"/>
    <w:rsid w:val="008B644A"/>
    <w:rsid w:val="008B6E86"/>
    <w:rsid w:val="008B7786"/>
    <w:rsid w:val="008C3638"/>
    <w:rsid w:val="008D284E"/>
    <w:rsid w:val="008D3851"/>
    <w:rsid w:val="008E0A35"/>
    <w:rsid w:val="008E5A99"/>
    <w:rsid w:val="008F0552"/>
    <w:rsid w:val="008F5124"/>
    <w:rsid w:val="00927428"/>
    <w:rsid w:val="00934645"/>
    <w:rsid w:val="0094799A"/>
    <w:rsid w:val="00950D8D"/>
    <w:rsid w:val="0095274F"/>
    <w:rsid w:val="00956F60"/>
    <w:rsid w:val="00961042"/>
    <w:rsid w:val="00963536"/>
    <w:rsid w:val="00967298"/>
    <w:rsid w:val="00973598"/>
    <w:rsid w:val="00984CEB"/>
    <w:rsid w:val="009903F2"/>
    <w:rsid w:val="009A1319"/>
    <w:rsid w:val="009B4EA7"/>
    <w:rsid w:val="009B7562"/>
    <w:rsid w:val="009C0A70"/>
    <w:rsid w:val="009D314E"/>
    <w:rsid w:val="009E07ED"/>
    <w:rsid w:val="009E6675"/>
    <w:rsid w:val="009F7502"/>
    <w:rsid w:val="00A05AFF"/>
    <w:rsid w:val="00A10024"/>
    <w:rsid w:val="00A142A7"/>
    <w:rsid w:val="00A15BD1"/>
    <w:rsid w:val="00A15BF2"/>
    <w:rsid w:val="00A161A7"/>
    <w:rsid w:val="00A17631"/>
    <w:rsid w:val="00A3060C"/>
    <w:rsid w:val="00A3468F"/>
    <w:rsid w:val="00A52FB2"/>
    <w:rsid w:val="00A53161"/>
    <w:rsid w:val="00A53183"/>
    <w:rsid w:val="00A54EFF"/>
    <w:rsid w:val="00A57370"/>
    <w:rsid w:val="00A629AD"/>
    <w:rsid w:val="00A754B2"/>
    <w:rsid w:val="00A842BD"/>
    <w:rsid w:val="00A9627B"/>
    <w:rsid w:val="00A96288"/>
    <w:rsid w:val="00AA082A"/>
    <w:rsid w:val="00AA2E83"/>
    <w:rsid w:val="00AA3329"/>
    <w:rsid w:val="00AB3D14"/>
    <w:rsid w:val="00AC139D"/>
    <w:rsid w:val="00AC152F"/>
    <w:rsid w:val="00AC5275"/>
    <w:rsid w:val="00AD6D7D"/>
    <w:rsid w:val="00AE3ABF"/>
    <w:rsid w:val="00AF255F"/>
    <w:rsid w:val="00AF2D4D"/>
    <w:rsid w:val="00AF495D"/>
    <w:rsid w:val="00AF4FF6"/>
    <w:rsid w:val="00B0382D"/>
    <w:rsid w:val="00B07615"/>
    <w:rsid w:val="00B10F91"/>
    <w:rsid w:val="00B15D6D"/>
    <w:rsid w:val="00B21E61"/>
    <w:rsid w:val="00B35046"/>
    <w:rsid w:val="00B36003"/>
    <w:rsid w:val="00B4030C"/>
    <w:rsid w:val="00B50934"/>
    <w:rsid w:val="00B63C5C"/>
    <w:rsid w:val="00B81943"/>
    <w:rsid w:val="00B861FD"/>
    <w:rsid w:val="00B97261"/>
    <w:rsid w:val="00BA2045"/>
    <w:rsid w:val="00BA363A"/>
    <w:rsid w:val="00BD0FF3"/>
    <w:rsid w:val="00BD3E9E"/>
    <w:rsid w:val="00BE3996"/>
    <w:rsid w:val="00BE6989"/>
    <w:rsid w:val="00BE6C2E"/>
    <w:rsid w:val="00BF299E"/>
    <w:rsid w:val="00BF3A59"/>
    <w:rsid w:val="00BF5D8D"/>
    <w:rsid w:val="00C049F5"/>
    <w:rsid w:val="00C1109F"/>
    <w:rsid w:val="00C12F1A"/>
    <w:rsid w:val="00C13530"/>
    <w:rsid w:val="00C16A7A"/>
    <w:rsid w:val="00C32510"/>
    <w:rsid w:val="00C3256A"/>
    <w:rsid w:val="00C339AC"/>
    <w:rsid w:val="00C429C3"/>
    <w:rsid w:val="00C65593"/>
    <w:rsid w:val="00C67E92"/>
    <w:rsid w:val="00C70A72"/>
    <w:rsid w:val="00C7192A"/>
    <w:rsid w:val="00C74006"/>
    <w:rsid w:val="00C761D0"/>
    <w:rsid w:val="00C80F63"/>
    <w:rsid w:val="00C8267D"/>
    <w:rsid w:val="00C855D4"/>
    <w:rsid w:val="00C922A6"/>
    <w:rsid w:val="00C973ED"/>
    <w:rsid w:val="00CA2457"/>
    <w:rsid w:val="00CB746F"/>
    <w:rsid w:val="00CC1815"/>
    <w:rsid w:val="00CC3E62"/>
    <w:rsid w:val="00CC41D8"/>
    <w:rsid w:val="00CD0D31"/>
    <w:rsid w:val="00CD1DEB"/>
    <w:rsid w:val="00CD6877"/>
    <w:rsid w:val="00CE1F10"/>
    <w:rsid w:val="00CF74ED"/>
    <w:rsid w:val="00CF7663"/>
    <w:rsid w:val="00D02D4C"/>
    <w:rsid w:val="00D05B4D"/>
    <w:rsid w:val="00D1598E"/>
    <w:rsid w:val="00D16CB7"/>
    <w:rsid w:val="00D21106"/>
    <w:rsid w:val="00D24E37"/>
    <w:rsid w:val="00D33985"/>
    <w:rsid w:val="00D50F9A"/>
    <w:rsid w:val="00D5555F"/>
    <w:rsid w:val="00D56413"/>
    <w:rsid w:val="00D64F6B"/>
    <w:rsid w:val="00D73151"/>
    <w:rsid w:val="00D84AC3"/>
    <w:rsid w:val="00D8656E"/>
    <w:rsid w:val="00D90D2C"/>
    <w:rsid w:val="00D964FF"/>
    <w:rsid w:val="00DA1C83"/>
    <w:rsid w:val="00DB18EF"/>
    <w:rsid w:val="00DB26A4"/>
    <w:rsid w:val="00DB47B7"/>
    <w:rsid w:val="00DC52E5"/>
    <w:rsid w:val="00DC5E34"/>
    <w:rsid w:val="00DD5D6A"/>
    <w:rsid w:val="00DE33F3"/>
    <w:rsid w:val="00DE3E36"/>
    <w:rsid w:val="00DE6443"/>
    <w:rsid w:val="00DF7640"/>
    <w:rsid w:val="00E03E5E"/>
    <w:rsid w:val="00E04F49"/>
    <w:rsid w:val="00E24B91"/>
    <w:rsid w:val="00E25193"/>
    <w:rsid w:val="00E32CA7"/>
    <w:rsid w:val="00E3368A"/>
    <w:rsid w:val="00E36DFE"/>
    <w:rsid w:val="00E41ADF"/>
    <w:rsid w:val="00E4313B"/>
    <w:rsid w:val="00E47075"/>
    <w:rsid w:val="00E529DC"/>
    <w:rsid w:val="00E53A20"/>
    <w:rsid w:val="00E569A4"/>
    <w:rsid w:val="00E75947"/>
    <w:rsid w:val="00E83DBE"/>
    <w:rsid w:val="00E863EF"/>
    <w:rsid w:val="00E86D5A"/>
    <w:rsid w:val="00E87090"/>
    <w:rsid w:val="00E935AA"/>
    <w:rsid w:val="00E94FC0"/>
    <w:rsid w:val="00EA090B"/>
    <w:rsid w:val="00EB0534"/>
    <w:rsid w:val="00EB20B2"/>
    <w:rsid w:val="00EB2558"/>
    <w:rsid w:val="00EB43B8"/>
    <w:rsid w:val="00EB63EB"/>
    <w:rsid w:val="00EC77F5"/>
    <w:rsid w:val="00ED47AB"/>
    <w:rsid w:val="00EE460A"/>
    <w:rsid w:val="00EE5294"/>
    <w:rsid w:val="00EF1D54"/>
    <w:rsid w:val="00F02438"/>
    <w:rsid w:val="00F0342A"/>
    <w:rsid w:val="00F03B13"/>
    <w:rsid w:val="00F06661"/>
    <w:rsid w:val="00F22969"/>
    <w:rsid w:val="00F30282"/>
    <w:rsid w:val="00F30758"/>
    <w:rsid w:val="00F31BB3"/>
    <w:rsid w:val="00F40CAA"/>
    <w:rsid w:val="00F4346F"/>
    <w:rsid w:val="00F50BD8"/>
    <w:rsid w:val="00F56389"/>
    <w:rsid w:val="00F61301"/>
    <w:rsid w:val="00F613CE"/>
    <w:rsid w:val="00F66F37"/>
    <w:rsid w:val="00F671D3"/>
    <w:rsid w:val="00F8065C"/>
    <w:rsid w:val="00F81B5D"/>
    <w:rsid w:val="00F836B9"/>
    <w:rsid w:val="00F84A9F"/>
    <w:rsid w:val="00F96D61"/>
    <w:rsid w:val="00FA0316"/>
    <w:rsid w:val="00FA4971"/>
    <w:rsid w:val="00FB0B32"/>
    <w:rsid w:val="00FB3F33"/>
    <w:rsid w:val="00FB516E"/>
    <w:rsid w:val="00FC01DF"/>
    <w:rsid w:val="00FC0413"/>
    <w:rsid w:val="00FD2128"/>
    <w:rsid w:val="00FD4520"/>
    <w:rsid w:val="00FE6B72"/>
    <w:rsid w:val="00FE7101"/>
    <w:rsid w:val="00FF0236"/>
    <w:rsid w:val="00FF2607"/>
    <w:rsid w:val="02A0526D"/>
    <w:rsid w:val="02A122C9"/>
    <w:rsid w:val="02A96A9A"/>
    <w:rsid w:val="03504882"/>
    <w:rsid w:val="03820C6B"/>
    <w:rsid w:val="039E5B9E"/>
    <w:rsid w:val="03BB6534"/>
    <w:rsid w:val="044D14ED"/>
    <w:rsid w:val="044F35E5"/>
    <w:rsid w:val="04545C9A"/>
    <w:rsid w:val="04E45433"/>
    <w:rsid w:val="04EC08A4"/>
    <w:rsid w:val="05AD141C"/>
    <w:rsid w:val="05EE60A3"/>
    <w:rsid w:val="07435610"/>
    <w:rsid w:val="074763D2"/>
    <w:rsid w:val="07AD72C8"/>
    <w:rsid w:val="0890741D"/>
    <w:rsid w:val="08A40482"/>
    <w:rsid w:val="0984386B"/>
    <w:rsid w:val="09FB79E6"/>
    <w:rsid w:val="0A242994"/>
    <w:rsid w:val="0B1B3706"/>
    <w:rsid w:val="0B863106"/>
    <w:rsid w:val="0BF63EBB"/>
    <w:rsid w:val="0D5C01C7"/>
    <w:rsid w:val="0D62191D"/>
    <w:rsid w:val="0D91219D"/>
    <w:rsid w:val="0EE017DD"/>
    <w:rsid w:val="0F0E218B"/>
    <w:rsid w:val="0F8E47D8"/>
    <w:rsid w:val="0FA732C9"/>
    <w:rsid w:val="101B3A7B"/>
    <w:rsid w:val="108D5674"/>
    <w:rsid w:val="11893214"/>
    <w:rsid w:val="118C7D35"/>
    <w:rsid w:val="11E4027B"/>
    <w:rsid w:val="1276159A"/>
    <w:rsid w:val="12E43EE8"/>
    <w:rsid w:val="137C0539"/>
    <w:rsid w:val="13E44557"/>
    <w:rsid w:val="14374F1D"/>
    <w:rsid w:val="144E5218"/>
    <w:rsid w:val="146D1091"/>
    <w:rsid w:val="149A3F01"/>
    <w:rsid w:val="14A81C23"/>
    <w:rsid w:val="14BA0E26"/>
    <w:rsid w:val="151F3073"/>
    <w:rsid w:val="153F786F"/>
    <w:rsid w:val="16350294"/>
    <w:rsid w:val="16351F72"/>
    <w:rsid w:val="1664767B"/>
    <w:rsid w:val="16B6035B"/>
    <w:rsid w:val="16F14FF5"/>
    <w:rsid w:val="175406D5"/>
    <w:rsid w:val="184B4AA5"/>
    <w:rsid w:val="186236C1"/>
    <w:rsid w:val="18B61352"/>
    <w:rsid w:val="18C24FB1"/>
    <w:rsid w:val="19120980"/>
    <w:rsid w:val="1942287E"/>
    <w:rsid w:val="197E4C62"/>
    <w:rsid w:val="19C749A6"/>
    <w:rsid w:val="19EF322F"/>
    <w:rsid w:val="19F67A29"/>
    <w:rsid w:val="1A063E6A"/>
    <w:rsid w:val="1B2D5B48"/>
    <w:rsid w:val="1B4F3758"/>
    <w:rsid w:val="1BD52DA4"/>
    <w:rsid w:val="1BF64F23"/>
    <w:rsid w:val="1BFF08ED"/>
    <w:rsid w:val="1C1B767C"/>
    <w:rsid w:val="1CA340B2"/>
    <w:rsid w:val="1D07533D"/>
    <w:rsid w:val="1D1C2CFF"/>
    <w:rsid w:val="1D3D39B3"/>
    <w:rsid w:val="1D6704B0"/>
    <w:rsid w:val="1D752CF3"/>
    <w:rsid w:val="1DCC1DD5"/>
    <w:rsid w:val="1DDB655F"/>
    <w:rsid w:val="1E0C513F"/>
    <w:rsid w:val="1E736CB7"/>
    <w:rsid w:val="1EBD423F"/>
    <w:rsid w:val="1EF37D35"/>
    <w:rsid w:val="1F8C1214"/>
    <w:rsid w:val="1FC67E02"/>
    <w:rsid w:val="20AE445E"/>
    <w:rsid w:val="20FA7972"/>
    <w:rsid w:val="21491622"/>
    <w:rsid w:val="216D7D32"/>
    <w:rsid w:val="21B00A5A"/>
    <w:rsid w:val="2237535A"/>
    <w:rsid w:val="226F0986"/>
    <w:rsid w:val="22CD5C75"/>
    <w:rsid w:val="22D1058E"/>
    <w:rsid w:val="22F429A3"/>
    <w:rsid w:val="23596F44"/>
    <w:rsid w:val="23717E8B"/>
    <w:rsid w:val="24731BC5"/>
    <w:rsid w:val="24B97AEA"/>
    <w:rsid w:val="2507543C"/>
    <w:rsid w:val="2521637B"/>
    <w:rsid w:val="25245441"/>
    <w:rsid w:val="25390F1F"/>
    <w:rsid w:val="25601849"/>
    <w:rsid w:val="25F12274"/>
    <w:rsid w:val="261D4597"/>
    <w:rsid w:val="26A45AD6"/>
    <w:rsid w:val="26B02E46"/>
    <w:rsid w:val="272F449B"/>
    <w:rsid w:val="279F296A"/>
    <w:rsid w:val="27CA0D04"/>
    <w:rsid w:val="283A2B9E"/>
    <w:rsid w:val="2854458A"/>
    <w:rsid w:val="28834E7D"/>
    <w:rsid w:val="28A22C1D"/>
    <w:rsid w:val="28A828BE"/>
    <w:rsid w:val="28B0243C"/>
    <w:rsid w:val="290F4662"/>
    <w:rsid w:val="299012A6"/>
    <w:rsid w:val="299B3C7E"/>
    <w:rsid w:val="29E3155D"/>
    <w:rsid w:val="2A054D89"/>
    <w:rsid w:val="2AB1252D"/>
    <w:rsid w:val="2AFC6824"/>
    <w:rsid w:val="2B0A2A32"/>
    <w:rsid w:val="2B136F3F"/>
    <w:rsid w:val="2B182AE7"/>
    <w:rsid w:val="2B285F4C"/>
    <w:rsid w:val="2B302E0E"/>
    <w:rsid w:val="2B6C773A"/>
    <w:rsid w:val="2C076EC2"/>
    <w:rsid w:val="2C1D3854"/>
    <w:rsid w:val="2C1E56AC"/>
    <w:rsid w:val="2C423C6A"/>
    <w:rsid w:val="2C747296"/>
    <w:rsid w:val="2CAC3BCA"/>
    <w:rsid w:val="2CCD6484"/>
    <w:rsid w:val="2D370D62"/>
    <w:rsid w:val="2D6B1672"/>
    <w:rsid w:val="2E681DB2"/>
    <w:rsid w:val="2E876392"/>
    <w:rsid w:val="2EF038B2"/>
    <w:rsid w:val="2F905F0F"/>
    <w:rsid w:val="2FB379D2"/>
    <w:rsid w:val="30532CAD"/>
    <w:rsid w:val="306C04D0"/>
    <w:rsid w:val="308154EE"/>
    <w:rsid w:val="31261D05"/>
    <w:rsid w:val="312C450A"/>
    <w:rsid w:val="31A73263"/>
    <w:rsid w:val="32FB097D"/>
    <w:rsid w:val="34720BA9"/>
    <w:rsid w:val="348D44BE"/>
    <w:rsid w:val="34BD092E"/>
    <w:rsid w:val="34FC4A07"/>
    <w:rsid w:val="354867EA"/>
    <w:rsid w:val="355D34C2"/>
    <w:rsid w:val="35B4619F"/>
    <w:rsid w:val="35BD3F7E"/>
    <w:rsid w:val="36A86E4F"/>
    <w:rsid w:val="36A87D08"/>
    <w:rsid w:val="36CC6D9B"/>
    <w:rsid w:val="36D8130C"/>
    <w:rsid w:val="37375A96"/>
    <w:rsid w:val="37536F29"/>
    <w:rsid w:val="379B0C82"/>
    <w:rsid w:val="380B66F0"/>
    <w:rsid w:val="38520B54"/>
    <w:rsid w:val="387E0285"/>
    <w:rsid w:val="388C0782"/>
    <w:rsid w:val="38AB2CAD"/>
    <w:rsid w:val="3947463D"/>
    <w:rsid w:val="397B54C8"/>
    <w:rsid w:val="39B95F63"/>
    <w:rsid w:val="3A9D16E9"/>
    <w:rsid w:val="3ACF4911"/>
    <w:rsid w:val="3AEF6E26"/>
    <w:rsid w:val="3B677A33"/>
    <w:rsid w:val="3BF42C55"/>
    <w:rsid w:val="3C992BF7"/>
    <w:rsid w:val="3CAE5DFC"/>
    <w:rsid w:val="3CE00819"/>
    <w:rsid w:val="3CE410FB"/>
    <w:rsid w:val="3CF16D47"/>
    <w:rsid w:val="3CF86FD8"/>
    <w:rsid w:val="3E153F79"/>
    <w:rsid w:val="3F3D5906"/>
    <w:rsid w:val="3FF35B13"/>
    <w:rsid w:val="409C60F2"/>
    <w:rsid w:val="41AB2792"/>
    <w:rsid w:val="41C84A5A"/>
    <w:rsid w:val="41E128B6"/>
    <w:rsid w:val="422211DE"/>
    <w:rsid w:val="428F1165"/>
    <w:rsid w:val="4335097B"/>
    <w:rsid w:val="4336554F"/>
    <w:rsid w:val="436D554C"/>
    <w:rsid w:val="43925DE6"/>
    <w:rsid w:val="43DD32E8"/>
    <w:rsid w:val="43E576EF"/>
    <w:rsid w:val="43F671D1"/>
    <w:rsid w:val="442946B1"/>
    <w:rsid w:val="445208AD"/>
    <w:rsid w:val="44722446"/>
    <w:rsid w:val="4485200B"/>
    <w:rsid w:val="44BD1D2F"/>
    <w:rsid w:val="45300692"/>
    <w:rsid w:val="455B3B88"/>
    <w:rsid w:val="459C6DF4"/>
    <w:rsid w:val="45A100D9"/>
    <w:rsid w:val="461E0F14"/>
    <w:rsid w:val="46827B2C"/>
    <w:rsid w:val="46D20856"/>
    <w:rsid w:val="47046BE9"/>
    <w:rsid w:val="471C3F27"/>
    <w:rsid w:val="476A1570"/>
    <w:rsid w:val="47A02CC3"/>
    <w:rsid w:val="48920375"/>
    <w:rsid w:val="489750AD"/>
    <w:rsid w:val="49715C1A"/>
    <w:rsid w:val="49730EE1"/>
    <w:rsid w:val="4A080452"/>
    <w:rsid w:val="4A1F3E1F"/>
    <w:rsid w:val="4A24796D"/>
    <w:rsid w:val="4A931969"/>
    <w:rsid w:val="4AA76A04"/>
    <w:rsid w:val="4ACF5BD5"/>
    <w:rsid w:val="4ADE2128"/>
    <w:rsid w:val="4B081065"/>
    <w:rsid w:val="4B154230"/>
    <w:rsid w:val="4B1B0D62"/>
    <w:rsid w:val="4B6C11C5"/>
    <w:rsid w:val="4B8774F6"/>
    <w:rsid w:val="4BA018A0"/>
    <w:rsid w:val="4BB54A65"/>
    <w:rsid w:val="4BC139DF"/>
    <w:rsid w:val="4BE800A8"/>
    <w:rsid w:val="4C7F2FC7"/>
    <w:rsid w:val="4D3C10D4"/>
    <w:rsid w:val="4D9A1270"/>
    <w:rsid w:val="4DD91163"/>
    <w:rsid w:val="4DEF11D9"/>
    <w:rsid w:val="4E667754"/>
    <w:rsid w:val="4E785AF9"/>
    <w:rsid w:val="4E9C29C8"/>
    <w:rsid w:val="4EAC77D5"/>
    <w:rsid w:val="4F2C5E43"/>
    <w:rsid w:val="507B3EAC"/>
    <w:rsid w:val="508B00F4"/>
    <w:rsid w:val="5094042B"/>
    <w:rsid w:val="50C82E97"/>
    <w:rsid w:val="50E7326C"/>
    <w:rsid w:val="51345A4A"/>
    <w:rsid w:val="514C1629"/>
    <w:rsid w:val="51BF1C5B"/>
    <w:rsid w:val="51EF23CF"/>
    <w:rsid w:val="520B4964"/>
    <w:rsid w:val="5228229C"/>
    <w:rsid w:val="523159AC"/>
    <w:rsid w:val="52C6471C"/>
    <w:rsid w:val="52C75862"/>
    <w:rsid w:val="530055EA"/>
    <w:rsid w:val="538D3F38"/>
    <w:rsid w:val="53A423DB"/>
    <w:rsid w:val="54396FE8"/>
    <w:rsid w:val="547529FC"/>
    <w:rsid w:val="548C71C6"/>
    <w:rsid w:val="54A4514F"/>
    <w:rsid w:val="553906D6"/>
    <w:rsid w:val="55A04312"/>
    <w:rsid w:val="55A95FBF"/>
    <w:rsid w:val="55EC0707"/>
    <w:rsid w:val="5606023A"/>
    <w:rsid w:val="56470C48"/>
    <w:rsid w:val="565F340C"/>
    <w:rsid w:val="5690668A"/>
    <w:rsid w:val="56B167D6"/>
    <w:rsid w:val="56B406C1"/>
    <w:rsid w:val="56D9390C"/>
    <w:rsid w:val="573E2F05"/>
    <w:rsid w:val="57577675"/>
    <w:rsid w:val="581072D6"/>
    <w:rsid w:val="58584468"/>
    <w:rsid w:val="586B3923"/>
    <w:rsid w:val="5911247A"/>
    <w:rsid w:val="593F27F6"/>
    <w:rsid w:val="59445AF6"/>
    <w:rsid w:val="59452E2A"/>
    <w:rsid w:val="598F074C"/>
    <w:rsid w:val="59A113D7"/>
    <w:rsid w:val="59FB13E6"/>
    <w:rsid w:val="5A836DBF"/>
    <w:rsid w:val="5A9F1EF3"/>
    <w:rsid w:val="5B0B05EE"/>
    <w:rsid w:val="5B4858B6"/>
    <w:rsid w:val="5BAB01F3"/>
    <w:rsid w:val="5BD573C4"/>
    <w:rsid w:val="5BDA243B"/>
    <w:rsid w:val="5C0B30CB"/>
    <w:rsid w:val="5C7E1671"/>
    <w:rsid w:val="5C993BA4"/>
    <w:rsid w:val="5CEE36FB"/>
    <w:rsid w:val="5D405AAC"/>
    <w:rsid w:val="5D5C2DED"/>
    <w:rsid w:val="5DA975DF"/>
    <w:rsid w:val="5DE478A4"/>
    <w:rsid w:val="5DFF0A4E"/>
    <w:rsid w:val="5E0B0F30"/>
    <w:rsid w:val="5E572795"/>
    <w:rsid w:val="5EC55967"/>
    <w:rsid w:val="5EFC4FAE"/>
    <w:rsid w:val="5F5D61AB"/>
    <w:rsid w:val="5FC67F7F"/>
    <w:rsid w:val="5FC72A7C"/>
    <w:rsid w:val="5FE51026"/>
    <w:rsid w:val="6042456F"/>
    <w:rsid w:val="606652F3"/>
    <w:rsid w:val="60711F7C"/>
    <w:rsid w:val="60794DD9"/>
    <w:rsid w:val="60D84BAA"/>
    <w:rsid w:val="60F10307"/>
    <w:rsid w:val="60FF65F7"/>
    <w:rsid w:val="61073EFD"/>
    <w:rsid w:val="616B6098"/>
    <w:rsid w:val="619930FC"/>
    <w:rsid w:val="61F66D7A"/>
    <w:rsid w:val="62D86767"/>
    <w:rsid w:val="634768BB"/>
    <w:rsid w:val="636C2141"/>
    <w:rsid w:val="63A74614"/>
    <w:rsid w:val="63E519B6"/>
    <w:rsid w:val="63F10485"/>
    <w:rsid w:val="641630FA"/>
    <w:rsid w:val="641A2B0E"/>
    <w:rsid w:val="64BC51BB"/>
    <w:rsid w:val="64D7377C"/>
    <w:rsid w:val="65371893"/>
    <w:rsid w:val="65511FC2"/>
    <w:rsid w:val="65C23CEA"/>
    <w:rsid w:val="65DD26BC"/>
    <w:rsid w:val="66D0502E"/>
    <w:rsid w:val="66E7086C"/>
    <w:rsid w:val="675E1D06"/>
    <w:rsid w:val="67A42DB2"/>
    <w:rsid w:val="67FE7D0B"/>
    <w:rsid w:val="682223A1"/>
    <w:rsid w:val="686858F0"/>
    <w:rsid w:val="6925455C"/>
    <w:rsid w:val="69BE4912"/>
    <w:rsid w:val="6A083CE9"/>
    <w:rsid w:val="6B0453B3"/>
    <w:rsid w:val="6BC50FCC"/>
    <w:rsid w:val="6C6C35BB"/>
    <w:rsid w:val="6CD53279"/>
    <w:rsid w:val="6DC51538"/>
    <w:rsid w:val="6DED7920"/>
    <w:rsid w:val="6E7C260A"/>
    <w:rsid w:val="6F0076C4"/>
    <w:rsid w:val="6F1779F1"/>
    <w:rsid w:val="6F217B91"/>
    <w:rsid w:val="6F880A7C"/>
    <w:rsid w:val="6FB768B3"/>
    <w:rsid w:val="6FBA7C49"/>
    <w:rsid w:val="6FC66DBE"/>
    <w:rsid w:val="70067E3B"/>
    <w:rsid w:val="703C6A8D"/>
    <w:rsid w:val="70E06F6C"/>
    <w:rsid w:val="71371C7F"/>
    <w:rsid w:val="71423819"/>
    <w:rsid w:val="71771431"/>
    <w:rsid w:val="71A54936"/>
    <w:rsid w:val="72505660"/>
    <w:rsid w:val="731F659A"/>
    <w:rsid w:val="733C6946"/>
    <w:rsid w:val="73C45ED5"/>
    <w:rsid w:val="73F96C01"/>
    <w:rsid w:val="740318A7"/>
    <w:rsid w:val="752A6F04"/>
    <w:rsid w:val="75407BEB"/>
    <w:rsid w:val="75B22B2A"/>
    <w:rsid w:val="75CA54B0"/>
    <w:rsid w:val="76096D0E"/>
    <w:rsid w:val="761F7F19"/>
    <w:rsid w:val="766E3C80"/>
    <w:rsid w:val="77AA4466"/>
    <w:rsid w:val="77F671E6"/>
    <w:rsid w:val="78252B09"/>
    <w:rsid w:val="78437247"/>
    <w:rsid w:val="7858342D"/>
    <w:rsid w:val="786B78DC"/>
    <w:rsid w:val="78AB664F"/>
    <w:rsid w:val="791E4B27"/>
    <w:rsid w:val="792E7E07"/>
    <w:rsid w:val="79513A3A"/>
    <w:rsid w:val="79525F93"/>
    <w:rsid w:val="79766679"/>
    <w:rsid w:val="7A2036AF"/>
    <w:rsid w:val="7A3A5D53"/>
    <w:rsid w:val="7A6E3869"/>
    <w:rsid w:val="7AC50E70"/>
    <w:rsid w:val="7AD27F80"/>
    <w:rsid w:val="7B0A1B64"/>
    <w:rsid w:val="7B8D40A8"/>
    <w:rsid w:val="7BB53C31"/>
    <w:rsid w:val="7C0A2225"/>
    <w:rsid w:val="7C241F73"/>
    <w:rsid w:val="7C5B3C69"/>
    <w:rsid w:val="7C682145"/>
    <w:rsid w:val="7DDF1D8D"/>
    <w:rsid w:val="7E1063E2"/>
    <w:rsid w:val="7E117417"/>
    <w:rsid w:val="7E1B3167"/>
    <w:rsid w:val="7EC670E7"/>
    <w:rsid w:val="7F193C72"/>
    <w:rsid w:val="7F80433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qFormat="1" w:unhideWhenUsed="0" w:uiPriority="0" w:name="index 9"/>
    <w:lsdException w:qFormat="1" w:unhideWhenUsed="0" w:uiPriority="0" w:semiHidden="0" w:name="toc 1"/>
    <w:lsdException w:qFormat="1" w:unhideWhenUsed="0" w:uiPriority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qFormat="1" w:unhideWhenUsed="0" w:uiPriority="0" w:semiHidden="0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qFormat="1" w:unhideWhenUsed="0" w:uiPriority="0" w:semiHidden="0" w:name="toa heading"/>
    <w:lsdException w:uiPriority="99" w:name="List"/>
    <w:lsdException w:uiPriority="99" w:name="List Bullet"/>
    <w:lsdException w:qFormat="1" w:unhideWhenUsed="0" w:uiPriority="0" w:semiHidden="0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宋体" w:eastAsia="仿宋_GB2312" w:cs="Times New Roman"/>
      <w:kern w:val="2"/>
      <w:sz w:val="32"/>
      <w:szCs w:val="22"/>
      <w:lang w:val="en-US" w:eastAsia="zh-CN" w:bidi="ar-SA"/>
    </w:rPr>
  </w:style>
  <w:style w:type="paragraph" w:styleId="3">
    <w:name w:val="heading 1"/>
    <w:basedOn w:val="1"/>
    <w:next w:val="1"/>
    <w:link w:val="53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56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Cs w:val="32"/>
    </w:rPr>
  </w:style>
  <w:style w:type="paragraph" w:styleId="5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25">
    <w:name w:val="Default Paragraph Font"/>
    <w:unhideWhenUsed/>
    <w:qFormat/>
    <w:uiPriority w:val="1"/>
  </w:style>
  <w:style w:type="table" w:default="1" w:styleId="2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Heading1"/>
    <w:next w:val="1"/>
    <w:qFormat/>
    <w:uiPriority w:val="0"/>
    <w:pPr>
      <w:spacing w:before="100" w:beforeAutospacing="1" w:after="100" w:afterAutospacing="1"/>
      <w:textAlignment w:val="baseline"/>
    </w:pPr>
    <w:rPr>
      <w:rFonts w:ascii="宋体" w:hAnsi="宋体" w:eastAsia="宋体" w:cs="Times New Roman"/>
      <w:b/>
      <w:kern w:val="44"/>
      <w:sz w:val="48"/>
      <w:szCs w:val="48"/>
      <w:lang w:val="en-US" w:eastAsia="zh-CN" w:bidi="ar-SA"/>
    </w:rPr>
  </w:style>
  <w:style w:type="paragraph" w:styleId="6">
    <w:name w:val="List Number"/>
    <w:basedOn w:val="1"/>
    <w:qFormat/>
    <w:uiPriority w:val="0"/>
    <w:rPr>
      <w:rFonts w:ascii="Times New Roman" w:hAnsi="Times New Roman" w:eastAsia="宋体"/>
      <w:smallCaps/>
      <w:sz w:val="28"/>
      <w:szCs w:val="24"/>
    </w:rPr>
  </w:style>
  <w:style w:type="paragraph" w:styleId="7">
    <w:name w:val="Normal Indent"/>
    <w:basedOn w:val="1"/>
    <w:next w:val="1"/>
    <w:unhideWhenUsed/>
    <w:qFormat/>
    <w:uiPriority w:val="99"/>
    <w:pPr>
      <w:ind w:firstLine="420" w:firstLineChars="200"/>
    </w:pPr>
  </w:style>
  <w:style w:type="paragraph" w:styleId="8">
    <w:name w:val="toa heading"/>
    <w:basedOn w:val="1"/>
    <w:next w:val="1"/>
    <w:qFormat/>
    <w:uiPriority w:val="0"/>
    <w:rPr>
      <w:rFonts w:ascii="Arial" w:hAnsi="Arial" w:eastAsia="宋体" w:cs="Times New Roman"/>
      <w:sz w:val="24"/>
      <w:szCs w:val="24"/>
    </w:rPr>
  </w:style>
  <w:style w:type="paragraph" w:styleId="9">
    <w:name w:val="Body Text"/>
    <w:basedOn w:val="1"/>
    <w:next w:val="10"/>
    <w:link w:val="58"/>
    <w:qFormat/>
    <w:uiPriority w:val="0"/>
    <w:pPr>
      <w:spacing w:line="0" w:lineRule="atLeast"/>
    </w:pPr>
    <w:rPr>
      <w:rFonts w:eastAsia="小标宋" w:cs="Times New Roman"/>
      <w:sz w:val="44"/>
      <w:szCs w:val="32"/>
    </w:rPr>
  </w:style>
  <w:style w:type="paragraph" w:styleId="10">
    <w:name w:val="toc 2"/>
    <w:basedOn w:val="1"/>
    <w:next w:val="1"/>
    <w:semiHidden/>
    <w:qFormat/>
    <w:uiPriority w:val="0"/>
    <w:pPr>
      <w:tabs>
        <w:tab w:val="right" w:leader="dot" w:pos="9175"/>
      </w:tabs>
      <w:spacing w:line="560" w:lineRule="exact"/>
      <w:jc w:val="center"/>
    </w:pPr>
    <w:rPr>
      <w:rFonts w:ascii="方正小标宋简体" w:eastAsia="方正小标宋简体"/>
      <w:b/>
      <w:smallCaps/>
      <w:kern w:val="0"/>
      <w:sz w:val="44"/>
      <w:szCs w:val="44"/>
    </w:rPr>
  </w:style>
  <w:style w:type="paragraph" w:styleId="11">
    <w:name w:val="Body Text Indent"/>
    <w:basedOn w:val="1"/>
    <w:link w:val="60"/>
    <w:unhideWhenUsed/>
    <w:qFormat/>
    <w:uiPriority w:val="99"/>
    <w:pPr>
      <w:spacing w:after="120"/>
      <w:ind w:left="420" w:leftChars="200"/>
    </w:pPr>
  </w:style>
  <w:style w:type="paragraph" w:styleId="12">
    <w:name w:val="Plain Text"/>
    <w:basedOn w:val="1"/>
    <w:link w:val="50"/>
    <w:qFormat/>
    <w:uiPriority w:val="0"/>
    <w:rPr>
      <w:rFonts w:hAnsi="Courier New"/>
      <w:sz w:val="24"/>
      <w:szCs w:val="24"/>
    </w:rPr>
  </w:style>
  <w:style w:type="paragraph" w:styleId="13">
    <w:name w:val="Date"/>
    <w:basedOn w:val="1"/>
    <w:next w:val="1"/>
    <w:qFormat/>
    <w:uiPriority w:val="0"/>
    <w:pPr>
      <w:ind w:left="100" w:leftChars="2500"/>
    </w:pPr>
  </w:style>
  <w:style w:type="paragraph" w:styleId="14">
    <w:name w:val="Body Text Indent 2"/>
    <w:basedOn w:val="1"/>
    <w:qFormat/>
    <w:uiPriority w:val="0"/>
    <w:pPr>
      <w:ind w:firstLine="630"/>
    </w:pPr>
    <w:rPr>
      <w:b/>
      <w:bCs/>
      <w:szCs w:val="32"/>
    </w:rPr>
  </w:style>
  <w:style w:type="paragraph" w:styleId="15">
    <w:name w:val="footer"/>
    <w:basedOn w:val="1"/>
    <w:link w:val="5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6">
    <w:name w:val="header"/>
    <w:basedOn w:val="1"/>
    <w:link w:val="64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7">
    <w:name w:val="toc 1"/>
    <w:basedOn w:val="1"/>
    <w:next w:val="1"/>
    <w:qFormat/>
    <w:uiPriority w:val="0"/>
  </w:style>
  <w:style w:type="paragraph" w:styleId="18">
    <w:name w:val="footnote text"/>
    <w:basedOn w:val="1"/>
    <w:qFormat/>
    <w:uiPriority w:val="0"/>
    <w:pPr>
      <w:snapToGrid w:val="0"/>
      <w:jc w:val="left"/>
    </w:pPr>
    <w:rPr>
      <w:rFonts w:ascii="Calibri" w:hAnsi="Calibri" w:eastAsia="宋体" w:cs="宋体"/>
      <w:sz w:val="18"/>
      <w:szCs w:val="24"/>
    </w:rPr>
  </w:style>
  <w:style w:type="paragraph" w:styleId="19">
    <w:name w:val="index 9"/>
    <w:basedOn w:val="1"/>
    <w:next w:val="1"/>
    <w:semiHidden/>
    <w:qFormat/>
    <w:uiPriority w:val="0"/>
    <w:pPr>
      <w:ind w:left="1600" w:leftChars="1600"/>
    </w:pPr>
  </w:style>
  <w:style w:type="paragraph" w:styleId="20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ascii="Calibri" w:hAnsi="Calibri" w:eastAsia="宋体"/>
      <w:kern w:val="0"/>
      <w:sz w:val="24"/>
      <w:szCs w:val="24"/>
    </w:rPr>
  </w:style>
  <w:style w:type="paragraph" w:styleId="21">
    <w:name w:val="Title"/>
    <w:basedOn w:val="1"/>
    <w:next w:val="1"/>
    <w:qFormat/>
    <w:uiPriority w:val="10"/>
    <w:pPr>
      <w:snapToGrid/>
      <w:spacing w:line="0" w:lineRule="atLeast"/>
      <w:ind w:firstLine="0"/>
      <w:jc w:val="center"/>
      <w:outlineLvl w:val="0"/>
    </w:pPr>
    <w:rPr>
      <w:rFonts w:ascii="等线 Light" w:hAnsi="等线 Light" w:eastAsia="方正小标宋简体" w:cs="黑体"/>
      <w:b/>
      <w:bCs/>
      <w:sz w:val="44"/>
      <w:szCs w:val="32"/>
    </w:rPr>
  </w:style>
  <w:style w:type="paragraph" w:styleId="22">
    <w:name w:val="Body Text First Indent 2"/>
    <w:basedOn w:val="11"/>
    <w:qFormat/>
    <w:uiPriority w:val="0"/>
    <w:pPr>
      <w:ind w:firstLine="420"/>
    </w:pPr>
    <w:rPr>
      <w:kern w:val="0"/>
      <w:sz w:val="20"/>
      <w:szCs w:val="20"/>
    </w:rPr>
  </w:style>
  <w:style w:type="table" w:styleId="24">
    <w:name w:val="Table Grid"/>
    <w:basedOn w:val="23"/>
    <w:qFormat/>
    <w:uiPriority w:val="0"/>
    <w:pPr>
      <w:widowControl w:val="0"/>
      <w:jc w:val="both"/>
    </w:pPr>
    <w:rPr>
      <w:rFonts w:ascii="Times New Roman" w:hAns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26">
    <w:name w:val="Strong"/>
    <w:basedOn w:val="25"/>
    <w:qFormat/>
    <w:uiPriority w:val="0"/>
    <w:rPr>
      <w:b/>
      <w:bCs/>
    </w:rPr>
  </w:style>
  <w:style w:type="character" w:styleId="27">
    <w:name w:val="page number"/>
    <w:basedOn w:val="25"/>
    <w:qFormat/>
    <w:uiPriority w:val="0"/>
  </w:style>
  <w:style w:type="character" w:styleId="28">
    <w:name w:val="Emphasis"/>
    <w:basedOn w:val="25"/>
    <w:qFormat/>
    <w:uiPriority w:val="0"/>
    <w:rPr>
      <w:rFonts w:eastAsia="宋体"/>
      <w:iCs/>
      <w:sz w:val="21"/>
    </w:rPr>
  </w:style>
  <w:style w:type="paragraph" w:customStyle="1" w:styleId="29">
    <w:name w:val="UserStyle_0"/>
    <w:next w:val="1"/>
    <w:qFormat/>
    <w:uiPriority w:val="0"/>
    <w:pPr>
      <w:spacing w:before="100" w:beforeAutospacing="1" w:after="100" w:afterAutospacing="1"/>
      <w:textAlignment w:val="baseline"/>
    </w:pPr>
    <w:rPr>
      <w:rFonts w:ascii="宋体" w:hAnsi="宋体" w:eastAsia="宋体" w:cs="Times New Roman"/>
      <w:kern w:val="44"/>
      <w:sz w:val="48"/>
      <w:szCs w:val="48"/>
      <w:lang w:val="en-US" w:eastAsia="zh-CN" w:bidi="ar-SA"/>
    </w:rPr>
  </w:style>
  <w:style w:type="paragraph" w:customStyle="1" w:styleId="30">
    <w:name w:val="Table Paragraph"/>
    <w:basedOn w:val="1"/>
    <w:qFormat/>
    <w:uiPriority w:val="1"/>
    <w:pPr>
      <w:jc w:val="left"/>
    </w:pPr>
    <w:rPr>
      <w:kern w:val="0"/>
      <w:sz w:val="22"/>
      <w:lang w:eastAsia="en-US"/>
    </w:rPr>
  </w:style>
  <w:style w:type="paragraph" w:customStyle="1" w:styleId="31">
    <w:name w:val="CM6"/>
    <w:basedOn w:val="32"/>
    <w:next w:val="32"/>
    <w:qFormat/>
    <w:uiPriority w:val="99"/>
    <w:pPr>
      <w:spacing w:line="491" w:lineRule="atLeast"/>
    </w:pPr>
    <w:rPr>
      <w:rFonts w:ascii="方正粗宋简体" w:hAnsi="Calibri" w:eastAsia="方正粗宋简体" w:cs="Times New Roman"/>
      <w:color w:val="auto"/>
    </w:rPr>
  </w:style>
  <w:style w:type="paragraph" w:customStyle="1" w:styleId="32">
    <w:name w:val="Default"/>
    <w:qFormat/>
    <w:uiPriority w:val="0"/>
    <w:pPr>
      <w:widowControl w:val="0"/>
      <w:autoSpaceDE w:val="0"/>
      <w:autoSpaceDN w:val="0"/>
      <w:adjustRightInd w:val="0"/>
    </w:pPr>
    <w:rPr>
      <w:rFonts w:ascii="方正小标宋简体" w:hAnsi="Times New Roman" w:eastAsia="方正小标宋简体" w:cs="方正小标宋简体"/>
      <w:color w:val="000000"/>
      <w:sz w:val="24"/>
      <w:szCs w:val="24"/>
      <w:lang w:val="en-US" w:eastAsia="zh-CN" w:bidi="ar-SA"/>
    </w:rPr>
  </w:style>
  <w:style w:type="paragraph" w:customStyle="1" w:styleId="33">
    <w:name w:val="无间隔"/>
    <w:qFormat/>
    <w:uiPriority w:val="1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customStyle="1" w:styleId="34">
    <w:name w:val="CM5"/>
    <w:basedOn w:val="32"/>
    <w:next w:val="32"/>
    <w:qFormat/>
    <w:uiPriority w:val="99"/>
    <w:pPr>
      <w:spacing w:line="491" w:lineRule="atLeast"/>
    </w:pPr>
    <w:rPr>
      <w:rFonts w:ascii="方正粗宋简体" w:hAnsi="Calibri" w:eastAsia="方正粗宋简体" w:cs="Times New Roman"/>
      <w:color w:val="auto"/>
    </w:rPr>
  </w:style>
  <w:style w:type="paragraph" w:customStyle="1" w:styleId="35">
    <w:name w:val="CM12"/>
    <w:basedOn w:val="32"/>
    <w:next w:val="32"/>
    <w:qFormat/>
    <w:uiPriority w:val="99"/>
    <w:pPr>
      <w:spacing w:line="491" w:lineRule="atLeast"/>
    </w:pPr>
    <w:rPr>
      <w:rFonts w:ascii="方正粗宋简体" w:hAnsi="Calibri" w:eastAsia="方正粗宋简体" w:cs="Times New Roman"/>
      <w:color w:val="auto"/>
    </w:rPr>
  </w:style>
  <w:style w:type="paragraph" w:customStyle="1" w:styleId="36">
    <w:name w:val="p0"/>
    <w:basedOn w:val="1"/>
    <w:qFormat/>
    <w:uiPriority w:val="0"/>
    <w:pPr>
      <w:widowControl/>
    </w:pPr>
    <w:rPr>
      <w:rFonts w:hint="eastAsia" w:ascii="Times New Roman" w:hAnsi="Times New Roman"/>
      <w:szCs w:val="32"/>
    </w:rPr>
  </w:style>
  <w:style w:type="paragraph" w:styleId="37">
    <w:name w:val="List Paragraph"/>
    <w:basedOn w:val="1"/>
    <w:unhideWhenUsed/>
    <w:qFormat/>
    <w:uiPriority w:val="99"/>
    <w:pPr>
      <w:ind w:firstLine="420" w:firstLineChars="200"/>
    </w:pPr>
  </w:style>
  <w:style w:type="paragraph" w:customStyle="1" w:styleId="38">
    <w:name w:val="CM8"/>
    <w:basedOn w:val="32"/>
    <w:next w:val="32"/>
    <w:qFormat/>
    <w:uiPriority w:val="99"/>
    <w:pPr>
      <w:spacing w:line="491" w:lineRule="atLeast"/>
    </w:pPr>
    <w:rPr>
      <w:rFonts w:ascii="方正粗宋简体" w:hAnsi="Calibri" w:eastAsia="方正粗宋简体" w:cs="Times New Roman"/>
      <w:color w:val="auto"/>
    </w:rPr>
  </w:style>
  <w:style w:type="paragraph" w:customStyle="1" w:styleId="39">
    <w:name w:val="_Style 0"/>
    <w:qFormat/>
    <w:uiPriority w:val="1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customStyle="1" w:styleId="40">
    <w:name w:val="3"/>
    <w:basedOn w:val="1"/>
    <w:link w:val="61"/>
    <w:qFormat/>
    <w:uiPriority w:val="0"/>
    <w:pPr>
      <w:ind w:firstLine="200" w:firstLineChars="200"/>
    </w:pPr>
    <w:rPr>
      <w:rFonts w:eastAsia="Times New Roman"/>
      <w:b/>
      <w:sz w:val="24"/>
      <w:szCs w:val="24"/>
    </w:rPr>
  </w:style>
  <w:style w:type="paragraph" w:customStyle="1" w:styleId="41">
    <w:name w:val="样式 标题 1 +"/>
    <w:basedOn w:val="3"/>
    <w:qFormat/>
    <w:uiPriority w:val="0"/>
    <w:pPr>
      <w:tabs>
        <w:tab w:val="left" w:pos="1800"/>
      </w:tabs>
    </w:pPr>
    <w:rPr>
      <w:rFonts w:ascii="Times New Roman" w:hAnsi="Times New Roman" w:eastAsia="宋体"/>
      <w:kern w:val="2"/>
    </w:rPr>
  </w:style>
  <w:style w:type="paragraph" w:customStyle="1" w:styleId="42">
    <w:name w:val="无间隔1"/>
    <w:basedOn w:val="1"/>
    <w:qFormat/>
    <w:uiPriority w:val="1"/>
    <w:pPr>
      <w:spacing w:line="560" w:lineRule="exact"/>
      <w:jc w:val="left"/>
    </w:pPr>
    <w:rPr>
      <w:rFonts w:ascii="黑体" w:eastAsia="黑体"/>
      <w:szCs w:val="32"/>
    </w:rPr>
  </w:style>
  <w:style w:type="paragraph" w:customStyle="1" w:styleId="43">
    <w:name w:val="CM4"/>
    <w:basedOn w:val="32"/>
    <w:next w:val="32"/>
    <w:qFormat/>
    <w:uiPriority w:val="99"/>
    <w:pPr>
      <w:spacing w:line="491" w:lineRule="atLeast"/>
    </w:pPr>
    <w:rPr>
      <w:rFonts w:ascii="方正粗宋简体" w:hAnsi="Calibri" w:eastAsia="方正粗宋简体" w:cs="Times New Roman"/>
      <w:color w:val="auto"/>
    </w:rPr>
  </w:style>
  <w:style w:type="paragraph" w:customStyle="1" w:styleId="44">
    <w:name w:val="p1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eastAsia="宋体" w:cs="宋体"/>
      <w:kern w:val="0"/>
      <w:sz w:val="24"/>
      <w:szCs w:val="24"/>
    </w:rPr>
  </w:style>
  <w:style w:type="paragraph" w:customStyle="1" w:styleId="45">
    <w:name w:val="列出段落"/>
    <w:basedOn w:val="1"/>
    <w:qFormat/>
    <w:uiPriority w:val="34"/>
    <w:pPr>
      <w:ind w:firstLine="420" w:firstLineChars="200"/>
    </w:pPr>
  </w:style>
  <w:style w:type="paragraph" w:customStyle="1" w:styleId="46">
    <w:name w:val="_Style 4"/>
    <w:basedOn w:val="1"/>
    <w:qFormat/>
    <w:uiPriority w:val="0"/>
    <w:rPr>
      <w:rFonts w:ascii="Times New Roman" w:hAnsi="Times New Roman"/>
      <w:szCs w:val="32"/>
    </w:rPr>
  </w:style>
  <w:style w:type="paragraph" w:customStyle="1" w:styleId="47">
    <w:name w:val="CM3"/>
    <w:basedOn w:val="32"/>
    <w:next w:val="32"/>
    <w:qFormat/>
    <w:uiPriority w:val="0"/>
    <w:pPr>
      <w:spacing w:line="560" w:lineRule="atLeast"/>
    </w:pPr>
    <w:rPr>
      <w:color w:val="auto"/>
    </w:rPr>
  </w:style>
  <w:style w:type="paragraph" w:customStyle="1" w:styleId="48">
    <w:name w:val="CM2"/>
    <w:basedOn w:val="32"/>
    <w:next w:val="32"/>
    <w:qFormat/>
    <w:uiPriority w:val="0"/>
    <w:pPr>
      <w:spacing w:line="560" w:lineRule="atLeast"/>
    </w:pPr>
    <w:rPr>
      <w:color w:val="auto"/>
    </w:rPr>
  </w:style>
  <w:style w:type="character" w:customStyle="1" w:styleId="49">
    <w:name w:val=" Char Char"/>
    <w:basedOn w:val="25"/>
    <w:link w:val="12"/>
    <w:qFormat/>
    <w:uiPriority w:val="0"/>
    <w:rPr>
      <w:rFonts w:ascii="宋体" w:hAnsi="Courier New" w:eastAsia="仿宋_GB2312"/>
      <w:kern w:val="2"/>
      <w:sz w:val="24"/>
      <w:szCs w:val="24"/>
    </w:rPr>
  </w:style>
  <w:style w:type="character" w:customStyle="1" w:styleId="50">
    <w:name w:val="纯文本 Char1"/>
    <w:basedOn w:val="25"/>
    <w:link w:val="12"/>
    <w:semiHidden/>
    <w:qFormat/>
    <w:uiPriority w:val="99"/>
    <w:rPr>
      <w:rFonts w:ascii="宋体" w:hAnsi="Courier New" w:cs="Courier New"/>
      <w:kern w:val="2"/>
      <w:sz w:val="21"/>
      <w:szCs w:val="21"/>
    </w:rPr>
  </w:style>
  <w:style w:type="character" w:customStyle="1" w:styleId="51">
    <w:name w:val=" Char Char3"/>
    <w:basedOn w:val="25"/>
    <w:link w:val="15"/>
    <w:qFormat/>
    <w:uiPriority w:val="99"/>
    <w:rPr>
      <w:rFonts w:ascii="宋体" w:hAnsi="宋体" w:eastAsia="方正仿宋简体"/>
      <w:sz w:val="18"/>
      <w:szCs w:val="18"/>
    </w:rPr>
  </w:style>
  <w:style w:type="character" w:customStyle="1" w:styleId="52">
    <w:name w:val="font61"/>
    <w:basedOn w:val="25"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  <w:style w:type="character" w:customStyle="1" w:styleId="53">
    <w:name w:val=" Char Char6"/>
    <w:basedOn w:val="25"/>
    <w:link w:val="3"/>
    <w:qFormat/>
    <w:uiPriority w:val="9"/>
    <w:rPr>
      <w:rFonts w:ascii="宋体" w:hAnsi="宋体" w:eastAsia="仿宋_GB2312"/>
      <w:b/>
      <w:bCs/>
      <w:kern w:val="44"/>
      <w:sz w:val="44"/>
      <w:szCs w:val="44"/>
    </w:rPr>
  </w:style>
  <w:style w:type="character" w:customStyle="1" w:styleId="54">
    <w:name w:val="font21"/>
    <w:basedOn w:val="25"/>
    <w:qFormat/>
    <w:uiPriority w:val="0"/>
    <w:rPr>
      <w:rFonts w:hint="eastAsia" w:ascii="黑体" w:hAnsi="宋体" w:eastAsia="黑体" w:cs="黑体"/>
      <w:color w:val="000000"/>
      <w:sz w:val="36"/>
      <w:szCs w:val="36"/>
      <w:u w:val="none"/>
    </w:rPr>
  </w:style>
  <w:style w:type="character" w:customStyle="1" w:styleId="55">
    <w:name w:val="font31"/>
    <w:basedOn w:val="25"/>
    <w:qFormat/>
    <w:uiPriority w:val="0"/>
    <w:rPr>
      <w:rFonts w:hint="eastAsia" w:ascii="仿宋_GB2312" w:eastAsia="仿宋_GB2312" w:cs="仿宋_GB2312"/>
      <w:color w:val="000000"/>
      <w:sz w:val="36"/>
      <w:szCs w:val="36"/>
      <w:u w:val="none"/>
    </w:rPr>
  </w:style>
  <w:style w:type="character" w:customStyle="1" w:styleId="56">
    <w:name w:val=" Char Char5"/>
    <w:basedOn w:val="25"/>
    <w:link w:val="4"/>
    <w:qFormat/>
    <w:uiPriority w:val="0"/>
    <w:rPr>
      <w:rFonts w:ascii="Arial" w:hAnsi="Arial" w:eastAsia="黑体"/>
      <w:b/>
      <w:bCs/>
      <w:kern w:val="2"/>
      <w:sz w:val="32"/>
      <w:szCs w:val="32"/>
    </w:rPr>
  </w:style>
  <w:style w:type="character" w:customStyle="1" w:styleId="57">
    <w:name w:val="新闻内容"/>
    <w:basedOn w:val="25"/>
    <w:qFormat/>
    <w:uiPriority w:val="0"/>
  </w:style>
  <w:style w:type="character" w:customStyle="1" w:styleId="58">
    <w:name w:val=" Char Char1"/>
    <w:basedOn w:val="25"/>
    <w:link w:val="9"/>
    <w:qFormat/>
    <w:uiPriority w:val="0"/>
    <w:rPr>
      <w:rFonts w:ascii="宋体" w:hAnsi="宋体" w:eastAsia="小标宋" w:cs="Times New Roman"/>
      <w:sz w:val="44"/>
      <w:szCs w:val="32"/>
    </w:rPr>
  </w:style>
  <w:style w:type="character" w:customStyle="1" w:styleId="59">
    <w:name w:val="font01"/>
    <w:basedOn w:val="25"/>
    <w:qFormat/>
    <w:uiPriority w:val="0"/>
    <w:rPr>
      <w:rFonts w:hint="eastAsia" w:ascii="仿宋_GB2312" w:eastAsia="仿宋_GB2312" w:cs="仿宋_GB2312"/>
      <w:color w:val="000000"/>
      <w:sz w:val="36"/>
      <w:szCs w:val="36"/>
      <w:u w:val="none"/>
    </w:rPr>
  </w:style>
  <w:style w:type="character" w:customStyle="1" w:styleId="60">
    <w:name w:val=" Char Char4"/>
    <w:basedOn w:val="25"/>
    <w:link w:val="11"/>
    <w:semiHidden/>
    <w:qFormat/>
    <w:uiPriority w:val="99"/>
    <w:rPr>
      <w:rFonts w:ascii="宋体" w:hAnsi="宋体" w:eastAsia="仿宋_GB2312"/>
      <w:kern w:val="2"/>
      <w:sz w:val="32"/>
      <w:szCs w:val="22"/>
    </w:rPr>
  </w:style>
  <w:style w:type="character" w:customStyle="1" w:styleId="61">
    <w:name w:val="3 Char"/>
    <w:basedOn w:val="25"/>
    <w:link w:val="40"/>
    <w:qFormat/>
    <w:locked/>
    <w:uiPriority w:val="0"/>
    <w:rPr>
      <w:rFonts w:ascii="宋体" w:hAnsi="宋体"/>
      <w:b/>
      <w:kern w:val="2"/>
      <w:sz w:val="24"/>
      <w:szCs w:val="24"/>
      <w:lang w:bidi="ar-SA"/>
    </w:rPr>
  </w:style>
  <w:style w:type="character" w:customStyle="1" w:styleId="62">
    <w:name w:val="font41"/>
    <w:basedOn w:val="25"/>
    <w:qFormat/>
    <w:uiPriority w:val="0"/>
    <w:rPr>
      <w:rFonts w:hint="eastAsia" w:ascii="仿宋_GB2312" w:eastAsia="仿宋_GB2312" w:cs="仿宋_GB2312"/>
      <w:b/>
      <w:bCs/>
      <w:color w:val="000000"/>
      <w:sz w:val="36"/>
      <w:szCs w:val="36"/>
      <w:u w:val="none"/>
    </w:rPr>
  </w:style>
  <w:style w:type="character" w:customStyle="1" w:styleId="63">
    <w:name w:val="font51"/>
    <w:basedOn w:val="25"/>
    <w:qFormat/>
    <w:uiPriority w:val="0"/>
    <w:rPr>
      <w:rFonts w:hint="eastAsia" w:ascii="仿宋_GB2312" w:eastAsia="仿宋_GB2312" w:cs="仿宋_GB2312"/>
      <w:color w:val="000000"/>
      <w:sz w:val="36"/>
      <w:szCs w:val="36"/>
      <w:u w:val="none"/>
    </w:rPr>
  </w:style>
  <w:style w:type="character" w:customStyle="1" w:styleId="64">
    <w:name w:val=" Char Char2"/>
    <w:basedOn w:val="25"/>
    <w:link w:val="16"/>
    <w:semiHidden/>
    <w:qFormat/>
    <w:uiPriority w:val="99"/>
    <w:rPr>
      <w:rFonts w:ascii="宋体" w:hAnsi="宋体" w:eastAsia="方正仿宋简体"/>
      <w:sz w:val="18"/>
      <w:szCs w:val="18"/>
    </w:rPr>
  </w:style>
  <w:style w:type="paragraph" w:customStyle="1" w:styleId="65">
    <w:name w:val="样式 预案-正文 + 首行缩进:  2 字符"/>
    <w:basedOn w:val="1"/>
    <w:qFormat/>
    <w:uiPriority w:val="0"/>
    <w:pPr>
      <w:ind w:firstLine="549" w:firstLineChars="200"/>
    </w:pPr>
    <w:rPr>
      <w:rFonts w:ascii="仿宋_GB2312" w:hAnsi="宋体" w:eastAsia="仿宋_GB2312" w:cs="宋体"/>
      <w:sz w:val="28"/>
      <w:szCs w:val="28"/>
    </w:rPr>
  </w:style>
  <w:style w:type="character" w:customStyle="1" w:styleId="66">
    <w:name w:val="font11"/>
    <w:basedOn w:val="25"/>
    <w:qFormat/>
    <w:uiPriority w:val="0"/>
    <w:rPr>
      <w:rFonts w:hint="eastAsia" w:ascii="黑体" w:hAnsi="宋体" w:eastAsia="黑体" w:cs="黑体"/>
      <w:color w:val="000000"/>
      <w:sz w:val="24"/>
      <w:szCs w:val="24"/>
      <w:u w:val="none"/>
    </w:rPr>
  </w:style>
  <w:style w:type="character" w:customStyle="1" w:styleId="67">
    <w:name w:val="font71"/>
    <w:basedOn w:val="25"/>
    <w:qFormat/>
    <w:uiPriority w:val="0"/>
    <w:rPr>
      <w:rFonts w:ascii="方正小标宋简体" w:hAnsi="方正小标宋简体" w:eastAsia="方正小标宋简体" w:cs="方正小标宋简体"/>
      <w:color w:val="000000"/>
      <w:sz w:val="40"/>
      <w:szCs w:val="40"/>
      <w:u w:val="none"/>
    </w:rPr>
  </w:style>
  <w:style w:type="paragraph" w:customStyle="1" w:styleId="68">
    <w:name w:val="正文缩进1"/>
    <w:next w:val="1"/>
    <w:qFormat/>
    <w:uiPriority w:val="0"/>
    <w:pPr>
      <w:widowControl w:val="0"/>
      <w:suppressAutoHyphens/>
      <w:ind w:firstLine="420"/>
      <w:jc w:val="both"/>
    </w:pPr>
    <w:rPr>
      <w:rFonts w:ascii="仿宋_GB2312" w:hAnsi="仿宋_GB2312" w:eastAsia="仿宋_GB2312" w:cs="Times New Roman"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Pages>20</Pages>
  <Words>7843</Words>
  <Characters>8239</Characters>
  <Lines>676</Lines>
  <Paragraphs>190</Paragraphs>
  <TotalTime>17</TotalTime>
  <ScaleCrop>false</ScaleCrop>
  <LinksUpToDate>false</LinksUpToDate>
  <CharactersWithSpaces>8289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2015-07-24T09:20:00Z</dcterms:created>
  <dc:creator>Administrator</dc:creator>
  <cp:lastModifiedBy>Administrator</cp:lastModifiedBy>
  <cp:lastPrinted>2026-03-27T01:06:00Z</cp:lastPrinted>
  <dcterms:modified xsi:type="dcterms:W3CDTF">2026-04-02T06:21:40Z</dcterms:modified>
  <dc:title>目  录</dc:title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B1BEB0B2FB04416CADC17898EAE3B569</vt:lpwstr>
  </property>
</Properties>
</file>