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Times New Roman" w:eastAsia="黑体"/>
          <w:szCs w:val="32"/>
        </w:rPr>
      </w:pPr>
    </w:p>
    <w:p>
      <w:pPr>
        <w:pStyle w:val="15"/>
        <w:rPr>
          <w:rFonts w:hint="eastAsia"/>
        </w:rPr>
      </w:pPr>
    </w:p>
    <w:p>
      <w:pPr>
        <w:rPr>
          <w:rFonts w:hint="eastAsia" w:ascii="黑体" w:eastAsia="黑体"/>
          <w:szCs w:val="32"/>
        </w:rPr>
      </w:pPr>
    </w:p>
    <w:p>
      <w:pPr>
        <w:rPr>
          <w:rFonts w:hint="eastAsia"/>
          <w:szCs w:val="32"/>
        </w:rPr>
      </w:pPr>
      <w:r>
        <w:rPr>
          <w:rFonts w:hint="eastAsia"/>
          <w:szCs w:val="32"/>
        </w:rPr>
        <mc:AlternateContent>
          <mc:Choice Requires="wps">
            <w:drawing>
              <wp:anchor distT="0" distB="0" distL="114300" distR="114300" simplePos="0" relativeHeight="251659264" behindDoc="1" locked="0" layoutInCell="1" allowOverlap="1">
                <wp:simplePos x="0" y="0"/>
                <wp:positionH relativeFrom="column">
                  <wp:align>center</wp:align>
                </wp:positionH>
                <wp:positionV relativeFrom="margin">
                  <wp:posOffset>1080135</wp:posOffset>
                </wp:positionV>
                <wp:extent cx="5574665" cy="956945"/>
                <wp:effectExtent l="0" t="0" r="0" b="0"/>
                <wp:wrapNone/>
                <wp:docPr id="1" name="WJBT"/>
                <wp:cNvGraphicFramePr/>
                <a:graphic xmlns:a="http://schemas.openxmlformats.org/drawingml/2006/main">
                  <a:graphicData uri="http://schemas.microsoft.com/office/word/2010/wordprocessingShape">
                    <wps:wsp>
                      <wps:cNvSpPr txBox="1"/>
                      <wps:spPr>
                        <a:xfrm>
                          <a:off x="0" y="0"/>
                          <a:ext cx="5574665" cy="956945"/>
                        </a:xfrm>
                        <a:prstGeom prst="rect">
                          <a:avLst/>
                        </a:prstGeom>
                        <a:noFill/>
                        <a:ln w="9525">
                          <a:noFill/>
                        </a:ln>
                      </wps:spPr>
                      <wps:txbx>
                        <w:txbxContent>
                          <w:p>
                            <w:pPr>
                              <w:spacing w:line="1600" w:lineRule="exact"/>
                              <w:ind w:right="77" w:rightChars="24"/>
                              <w:jc w:val="distribute"/>
                              <w:rPr>
                                <w:rFonts w:hint="eastAsia" w:ascii="方正粗宋简体" w:hAnsi="Times New Roman" w:eastAsia="方正粗宋简体"/>
                                <w:color w:val="FF0000"/>
                                <w:spacing w:val="-45"/>
                                <w:w w:val="45"/>
                                <w:kern w:val="0"/>
                                <w:sz w:val="144"/>
                                <w:szCs w:val="144"/>
                              </w:rPr>
                            </w:pPr>
                            <w:r>
                              <w:rPr>
                                <w:rFonts w:hint="eastAsia" w:ascii="方正粗宋简体" w:hAnsi="Times New Roman" w:eastAsia="方正粗宋简体"/>
                                <w:color w:val="FF0000"/>
                                <w:spacing w:val="-45"/>
                                <w:w w:val="45"/>
                                <w:kern w:val="0"/>
                                <w:sz w:val="144"/>
                                <w:szCs w:val="144"/>
                              </w:rPr>
                              <w:t>烟台</w:t>
                            </w:r>
                            <w:r>
                              <w:rPr>
                                <w:rFonts w:hint="eastAsia" w:ascii="方正粗宋简体" w:hAnsi="Times New Roman" w:eastAsia="方正粗宋简体"/>
                                <w:color w:val="FF0000"/>
                                <w:spacing w:val="-45"/>
                                <w:w w:val="45"/>
                                <w:kern w:val="0"/>
                                <w:sz w:val="144"/>
                                <w:szCs w:val="144"/>
                                <w:lang w:eastAsia="zh-CN"/>
                              </w:rPr>
                              <w:t>黄渤海新区</w:t>
                            </w:r>
                            <w:r>
                              <w:rPr>
                                <w:rFonts w:hint="eastAsia" w:ascii="方正粗宋简体" w:hAnsi="Times New Roman" w:eastAsia="方正粗宋简体"/>
                                <w:color w:val="FF0000"/>
                                <w:spacing w:val="-45"/>
                                <w:w w:val="45"/>
                                <w:kern w:val="0"/>
                                <w:sz w:val="144"/>
                                <w:szCs w:val="144"/>
                              </w:rPr>
                              <w:t>管委办公室文件</w:t>
                            </w:r>
                          </w:p>
                        </w:txbxContent>
                      </wps:txbx>
                      <wps:bodyPr vert="horz" wrap="square" lIns="0" tIns="0" rIns="0" bIns="0" anchor="t" upright="1"/>
                    </wps:wsp>
                  </a:graphicData>
                </a:graphic>
              </wp:anchor>
            </w:drawing>
          </mc:Choice>
          <mc:Fallback>
            <w:pict>
              <v:shape id="WJBT" o:spid="_x0000_s1026" o:spt="202" type="#_x0000_t202" style="position:absolute;left:0pt;margin-top:85.05pt;height:75.35pt;width:438.95pt;mso-position-horizontal:center;mso-position-vertical-relative:margin;z-index:-251657216;mso-width-relative:page;mso-height-relative:page;" filled="f" stroked="f" coordsize="21600,21600" o:gfxdata="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y4Nmo&#10;1wAAAAgBAAAPAAAAAAAAAAEAIAAAACIAAABkcnMvZG93bnJldi54bWxQSwECFAAUAAAACACHTuJA&#10;voZdVLABAABLAwAADgAAAAAAAAABACAAAAAmAQAAZHJzL2Uyb0RvYy54bWxQSwUGAAAAAAYABgBZ&#10;AQAASAUAAAAA&#10;">
                <v:fill on="f" focussize="0,0"/>
                <v:stroke on="f"/>
                <v:imagedata o:title=""/>
                <o:lock v:ext="edit" aspectratio="f"/>
                <v:textbox inset="0mm,0mm,0mm,0mm">
                  <w:txbxContent>
                    <w:p>
                      <w:pPr>
                        <w:spacing w:line="1600" w:lineRule="exact"/>
                        <w:ind w:right="77" w:rightChars="24"/>
                        <w:jc w:val="distribute"/>
                        <w:rPr>
                          <w:rFonts w:hint="eastAsia" w:ascii="方正粗宋简体" w:hAnsi="Times New Roman" w:eastAsia="方正粗宋简体"/>
                          <w:color w:val="FF0000"/>
                          <w:spacing w:val="-45"/>
                          <w:w w:val="45"/>
                          <w:kern w:val="0"/>
                          <w:sz w:val="144"/>
                          <w:szCs w:val="144"/>
                        </w:rPr>
                      </w:pPr>
                      <w:r>
                        <w:rPr>
                          <w:rFonts w:hint="eastAsia" w:ascii="方正粗宋简体" w:hAnsi="Times New Roman" w:eastAsia="方正粗宋简体"/>
                          <w:color w:val="FF0000"/>
                          <w:spacing w:val="-45"/>
                          <w:w w:val="45"/>
                          <w:kern w:val="0"/>
                          <w:sz w:val="144"/>
                          <w:szCs w:val="144"/>
                        </w:rPr>
                        <w:t>烟台</w:t>
                      </w:r>
                      <w:r>
                        <w:rPr>
                          <w:rFonts w:hint="eastAsia" w:ascii="方正粗宋简体" w:hAnsi="Times New Roman" w:eastAsia="方正粗宋简体"/>
                          <w:color w:val="FF0000"/>
                          <w:spacing w:val="-45"/>
                          <w:w w:val="45"/>
                          <w:kern w:val="0"/>
                          <w:sz w:val="144"/>
                          <w:szCs w:val="144"/>
                          <w:lang w:eastAsia="zh-CN"/>
                        </w:rPr>
                        <w:t>黄渤海新区</w:t>
                      </w:r>
                      <w:r>
                        <w:rPr>
                          <w:rFonts w:hint="eastAsia" w:ascii="方正粗宋简体" w:hAnsi="Times New Roman" w:eastAsia="方正粗宋简体"/>
                          <w:color w:val="FF0000"/>
                          <w:spacing w:val="-45"/>
                          <w:w w:val="45"/>
                          <w:kern w:val="0"/>
                          <w:sz w:val="144"/>
                          <w:szCs w:val="144"/>
                        </w:rPr>
                        <w:t>管委办公室文件</w:t>
                      </w:r>
                    </w:p>
                  </w:txbxContent>
                </v:textbox>
              </v:shape>
            </w:pict>
          </mc:Fallback>
        </mc:AlternateContent>
      </w:r>
    </w:p>
    <w:p>
      <w:pPr>
        <w:tabs>
          <w:tab w:val="left" w:pos="2212"/>
        </w:tabs>
        <w:rPr>
          <w:rFonts w:hint="eastAsia"/>
          <w:szCs w:val="32"/>
        </w:rPr>
      </w:pPr>
    </w:p>
    <w:p>
      <w:pPr>
        <w:ind w:right="316" w:rightChars="100"/>
        <w:rPr>
          <w:szCs w:val="32"/>
        </w:rPr>
      </w:pPr>
    </w:p>
    <w:p>
      <w:pPr>
        <w:jc w:val="center"/>
        <w:rPr>
          <w:rFonts w:hint="eastAsia" w:ascii="仿宋_GB2312"/>
          <w:szCs w:val="32"/>
        </w:rPr>
      </w:pPr>
    </w:p>
    <w:p>
      <w:pPr>
        <w:jc w:val="center"/>
        <w:rPr>
          <w:rFonts w:hint="eastAsia" w:ascii="仿宋_GB2312"/>
          <w:szCs w:val="32"/>
        </w:rPr>
      </w:pPr>
      <w:r>
        <w:rPr>
          <w:rFonts w:hint="eastAsia" w:ascii="仿宋_GB2312"/>
          <w:szCs w:val="32"/>
        </w:rPr>
        <w:t>烟</w:t>
      </w:r>
      <w:r>
        <w:rPr>
          <w:rFonts w:hint="eastAsia" w:ascii="仿宋_GB2312"/>
          <w:szCs w:val="32"/>
          <w:lang w:eastAsia="zh-CN"/>
        </w:rPr>
        <w:t>黄新管办</w:t>
      </w:r>
      <w:r>
        <w:rPr>
          <w:rFonts w:hint="eastAsia" w:ascii="仿宋_GB2312"/>
          <w:szCs w:val="32"/>
        </w:rPr>
        <w:t>〔20</w:t>
      </w:r>
      <w:r>
        <w:rPr>
          <w:rFonts w:hint="eastAsia" w:ascii="仿宋_GB2312"/>
          <w:szCs w:val="32"/>
          <w:lang w:val="en-US" w:eastAsia="zh-CN"/>
        </w:rPr>
        <w:t>24</w:t>
      </w:r>
      <w:r>
        <w:rPr>
          <w:rFonts w:hint="eastAsia" w:ascii="仿宋_GB2312"/>
          <w:szCs w:val="32"/>
        </w:rPr>
        <w:t>〕</w:t>
      </w:r>
      <w:r>
        <w:rPr>
          <w:rFonts w:hint="eastAsia" w:ascii="仿宋_GB2312"/>
          <w:szCs w:val="32"/>
          <w:lang w:val="en-US" w:eastAsia="zh-CN"/>
        </w:rPr>
        <w:t>21</w:t>
      </w:r>
      <w:r>
        <w:rPr>
          <w:rFonts w:hint="eastAsia" w:ascii="仿宋_GB2312"/>
          <w:szCs w:val="32"/>
        </w:rPr>
        <w:t>号</w:t>
      </w:r>
    </w:p>
    <w:p>
      <w:pPr>
        <w:rPr>
          <w:rFonts w:hint="eastAsia"/>
          <w:szCs w:val="32"/>
        </w:rPr>
      </w:pPr>
    </w:p>
    <w:p>
      <w:pPr>
        <w:rPr>
          <w:rFonts w:hint="eastAsia"/>
          <w:szCs w:val="32"/>
        </w:rPr>
      </w:pPr>
      <w:r>
        <w:rPr>
          <w:rFonts w:hint="eastAsia"/>
          <w:szCs w:val="32"/>
        </w:rPr>
        <mc:AlternateContent>
          <mc:Choice Requires="wps">
            <w:drawing>
              <wp:anchor distT="0" distB="0" distL="114300" distR="114300" simplePos="0" relativeHeight="251660288" behindDoc="0" locked="1" layoutInCell="1" allowOverlap="1">
                <wp:simplePos x="0" y="0"/>
                <wp:positionH relativeFrom="column">
                  <wp:posOffset>-635</wp:posOffset>
                </wp:positionH>
                <wp:positionV relativeFrom="page">
                  <wp:posOffset>4356735</wp:posOffset>
                </wp:positionV>
                <wp:extent cx="5615940" cy="0"/>
                <wp:effectExtent l="0" t="0" r="0" b="0"/>
                <wp:wrapNone/>
                <wp:docPr id="2" name="BTBX"/>
                <wp:cNvGraphicFramePr/>
                <a:graphic xmlns:a="http://schemas.openxmlformats.org/drawingml/2006/main">
                  <a:graphicData uri="http://schemas.microsoft.com/office/word/2010/wordprocessingShape">
                    <wps:wsp>
                      <wps:cNvCnPr/>
                      <wps:spPr>
                        <a:xfrm>
                          <a:off x="0" y="0"/>
                          <a:ext cx="5615940" cy="0"/>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BTBX" o:spid="_x0000_s1026" o:spt="20" style="position:absolute;left:0pt;margin-left:-0.05pt;margin-top:343.05pt;height:0pt;width:442.2pt;mso-position-vertical-relative:page;z-index:251660288;mso-width-relative:page;mso-height-relative:page;" filled="f" stroked="t" coordsize="21600,21600" o:gfxdata="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T+cnb9cAAAAJAQAADwAAAAAAAAABACAAAAAiAAAAZHJzL2Rvd25yZXYu&#10;eG1sUEsBAhQAFAAAAAgAh07iQCWHJhDDAQAAigMAAA4AAAAAAAAAAQAgAAAAJgEAAGRycy9lMm9E&#10;b2MueG1sUEsFBgAAAAAGAAYAWQEAAFsFAAAAAA==&#10;">
                <v:fill on="f" focussize="0,0"/>
                <v:stroke weight="1.75pt" color="#FF0000" joinstyle="round"/>
                <v:imagedata o:title=""/>
                <o:lock v:ext="edit" aspectratio="f"/>
                <w10:anchorlock/>
              </v:line>
            </w:pict>
          </mc:Fallback>
        </mc:AlternateContent>
      </w:r>
    </w:p>
    <w:p>
      <w:pPr>
        <w:pStyle w:val="2"/>
        <w:keepNext w:val="0"/>
        <w:keepLines w:val="0"/>
        <w:pageBreakBefore w:val="0"/>
        <w:widowControl w:val="0"/>
        <w:kinsoku/>
        <w:wordWrap/>
        <w:overflowPunct/>
        <w:topLinePunct w:val="0"/>
        <w:autoSpaceDE w:val="0"/>
        <w:autoSpaceDN w:val="0"/>
        <w:bidi w:val="0"/>
        <w:adjustRightInd w:val="0"/>
        <w:snapToGrid/>
        <w:spacing w:beforeLines="0" w:afterLines="0" w:line="58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烟台</w:t>
      </w:r>
      <w:r>
        <w:rPr>
          <w:rFonts w:hint="eastAsia" w:ascii="方正小标宋简体" w:hAnsi="方正小标宋简体" w:eastAsia="方正小标宋简体" w:cs="方正小标宋简体"/>
          <w:sz w:val="44"/>
          <w:szCs w:val="44"/>
          <w:lang w:eastAsia="zh-CN"/>
        </w:rPr>
        <w:t>黄渤海新区</w:t>
      </w:r>
      <w:r>
        <w:rPr>
          <w:rFonts w:hint="eastAsia" w:ascii="方正小标宋简体" w:hAnsi="方正小标宋简体" w:eastAsia="方正小标宋简体" w:cs="方正小标宋简体"/>
          <w:sz w:val="44"/>
          <w:szCs w:val="44"/>
        </w:rPr>
        <w:t>管委办公室</w:t>
      </w:r>
    </w:p>
    <w:p>
      <w:pPr>
        <w:pStyle w:val="2"/>
        <w:keepNext w:val="0"/>
        <w:keepLines w:val="0"/>
        <w:pageBreakBefore w:val="0"/>
        <w:widowControl w:val="0"/>
        <w:kinsoku/>
        <w:wordWrap/>
        <w:overflowPunct/>
        <w:topLinePunct w:val="0"/>
        <w:autoSpaceDE w:val="0"/>
        <w:autoSpaceDN w:val="0"/>
        <w:bidi w:val="0"/>
        <w:adjustRightInd/>
        <w:snapToGrid/>
        <w:spacing w:beforeLines="0" w:afterLines="0" w:line="580" w:lineRule="exact"/>
        <w:ind w:right="0" w:right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关于印发《烟台黄渤海新区重污染天气</w:t>
      </w:r>
    </w:p>
    <w:p>
      <w:pPr>
        <w:pStyle w:val="2"/>
        <w:keepNext w:val="0"/>
        <w:keepLines w:val="0"/>
        <w:pageBreakBefore w:val="0"/>
        <w:widowControl w:val="0"/>
        <w:kinsoku/>
        <w:wordWrap/>
        <w:overflowPunct/>
        <w:topLinePunct w:val="0"/>
        <w:autoSpaceDE w:val="0"/>
        <w:autoSpaceDN w:val="0"/>
        <w:bidi w:val="0"/>
        <w:adjustRightInd/>
        <w:snapToGrid/>
        <w:spacing w:beforeLines="0" w:afterLines="0" w:line="580" w:lineRule="exact"/>
        <w:ind w:right="0" w:right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应急预案》的通知</w:t>
      </w:r>
    </w:p>
    <w:p>
      <w:pPr>
        <w:pStyle w:val="2"/>
        <w:keepNext w:val="0"/>
        <w:keepLines w:val="0"/>
        <w:pageBreakBefore w:val="0"/>
        <w:widowControl w:val="0"/>
        <w:kinsoku/>
        <w:wordWrap/>
        <w:overflowPunct/>
        <w:topLinePunct w:val="0"/>
        <w:autoSpaceDE w:val="0"/>
        <w:autoSpaceDN w:val="0"/>
        <w:bidi w:val="0"/>
        <w:adjustRightInd w:val="0"/>
        <w:snapToGrid/>
        <w:spacing w:beforeLines="0" w:afterLines="0" w:line="560" w:lineRule="exact"/>
        <w:ind w:right="0" w:rightChars="0"/>
        <w:jc w:val="center"/>
        <w:textAlignment w:val="auto"/>
        <w:outlineLvl w:val="9"/>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s="仿宋_GB2312"/>
          <w:sz w:val="32"/>
          <w:szCs w:val="32"/>
        </w:rPr>
      </w:pPr>
      <w:r>
        <w:rPr>
          <w:rFonts w:hint="eastAsia" w:ascii="仿宋_GB2312" w:hAnsi="仿宋_GB2312" w:eastAsia="仿宋_GB2312" w:cs="仿宋_GB2312"/>
          <w:sz w:val="32"/>
          <w:szCs w:val="32"/>
        </w:rPr>
        <w:t>各街道（镇）办事处（政府），直属各部门、单位，中央、省、市属驻区各单位</w:t>
      </w:r>
      <w:r>
        <w:rPr>
          <w:rFonts w:hint="eastAsia" w:cs="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烟台</w:t>
      </w:r>
      <w:r>
        <w:rPr>
          <w:rFonts w:hint="eastAsia" w:ascii="仿宋_GB2312" w:hAnsi="仿宋_GB2312" w:eastAsia="仿宋_GB2312" w:cs="仿宋_GB2312"/>
          <w:color w:val="auto"/>
          <w:sz w:val="32"/>
          <w:szCs w:val="32"/>
          <w:lang w:eastAsia="zh-CN"/>
        </w:rPr>
        <w:t>黄渤海新区</w:t>
      </w:r>
      <w:r>
        <w:rPr>
          <w:rFonts w:hint="eastAsia" w:ascii="仿宋_GB2312" w:hAnsi="仿宋_GB2312" w:eastAsia="仿宋_GB2312" w:cs="仿宋_GB2312"/>
          <w:color w:val="auto"/>
          <w:sz w:val="32"/>
          <w:szCs w:val="32"/>
        </w:rPr>
        <w:t>重污染天气应急预案</w:t>
      </w:r>
      <w:r>
        <w:rPr>
          <w:rFonts w:hint="eastAsia" w:ascii="仿宋_GB2312" w:hAnsi="仿宋_GB2312" w:eastAsia="仿宋_GB2312" w:cs="仿宋_GB2312"/>
          <w:color w:val="auto"/>
          <w:sz w:val="32"/>
          <w:szCs w:val="32"/>
          <w:lang w:eastAsia="zh-CN"/>
        </w:rPr>
        <w:t>》已经管委同意，现印发给你们，请认真贯彻实施。</w:t>
      </w:r>
    </w:p>
    <w:p>
      <w:pPr>
        <w:pStyle w:val="2"/>
        <w:keepNext w:val="0"/>
        <w:keepLines w:val="0"/>
        <w:pageBreakBefore w:val="0"/>
        <w:widowControl w:val="0"/>
        <w:kinsoku/>
        <w:wordWrap/>
        <w:overflowPunct/>
        <w:topLinePunct w:val="0"/>
        <w:autoSpaceDE w:val="0"/>
        <w:autoSpaceDN w:val="0"/>
        <w:bidi w:val="0"/>
        <w:adjustRightInd/>
        <w:snapToGrid/>
        <w:spacing w:beforeLines="0" w:afterLines="0" w:line="240" w:lineRule="auto"/>
        <w:ind w:left="0" w:leftChars="0" w:right="0" w:rightChars="0"/>
        <w:jc w:val="center"/>
        <w:textAlignment w:val="auto"/>
        <w:outlineLvl w:val="9"/>
        <w:rPr>
          <w:rFonts w:hint="eastAsia" w:ascii="方正小标宋简体" w:hAnsi="方正小标宋简体" w:eastAsia="方正小标宋简体" w:cs="方正小标宋简体"/>
          <w:color w:val="auto"/>
          <w:sz w:val="32"/>
          <w:szCs w:val="32"/>
          <w:u w:val="none"/>
        </w:rPr>
      </w:pPr>
    </w:p>
    <w:p>
      <w:pPr>
        <w:pStyle w:val="2"/>
        <w:keepNext w:val="0"/>
        <w:keepLines w:val="0"/>
        <w:pageBreakBefore w:val="0"/>
        <w:widowControl w:val="0"/>
        <w:kinsoku/>
        <w:wordWrap/>
        <w:overflowPunct/>
        <w:topLinePunct w:val="0"/>
        <w:autoSpaceDE w:val="0"/>
        <w:autoSpaceDN w:val="0"/>
        <w:bidi w:val="0"/>
        <w:adjustRightInd/>
        <w:snapToGrid/>
        <w:spacing w:beforeLines="0" w:afterLines="0" w:line="240" w:lineRule="auto"/>
        <w:ind w:left="0" w:leftChars="0" w:right="0" w:rightChars="0"/>
        <w:jc w:val="center"/>
        <w:textAlignment w:val="auto"/>
        <w:outlineLvl w:val="9"/>
        <w:rPr>
          <w:rFonts w:hint="eastAsia" w:ascii="方正小标宋简体" w:hAnsi="方正小标宋简体" w:eastAsia="方正小标宋简体" w:cs="方正小标宋简体"/>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4582" w:firstLineChars="14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烟台黄渤海新区管委办公室</w:t>
      </w:r>
    </w:p>
    <w:p>
      <w:pPr>
        <w:keepNext w:val="0"/>
        <w:keepLines w:val="0"/>
        <w:pageBreakBefore w:val="0"/>
        <w:widowControl w:val="0"/>
        <w:tabs>
          <w:tab w:val="left" w:pos="7580"/>
        </w:tabs>
        <w:kinsoku/>
        <w:wordWrap/>
        <w:overflowPunct/>
        <w:topLinePunct w:val="0"/>
        <w:autoSpaceDE/>
        <w:autoSpaceDN/>
        <w:bidi w:val="0"/>
        <w:adjustRightInd/>
        <w:snapToGrid/>
        <w:spacing w:line="240" w:lineRule="auto"/>
        <w:ind w:right="1264" w:rightChars="400" w:firstLine="4740" w:firstLineChars="1500"/>
        <w:jc w:val="right"/>
        <w:textAlignment w:val="auto"/>
        <w:rPr>
          <w:rFonts w:hint="eastAsia"/>
        </w:rPr>
      </w:pPr>
      <w:r>
        <w:rPr>
          <w:rFonts w:hint="eastAsia" w:ascii="仿宋_GB2312" w:hAnsi="仿宋_GB2312" w:eastAsia="仿宋_GB2312" w:cs="仿宋_GB2312"/>
          <w:sz w:val="32"/>
          <w:szCs w:val="32"/>
        </w:rPr>
        <w:t>2024年</w:t>
      </w:r>
      <w:r>
        <w:rPr>
          <w:rFonts w:hint="eastAsia" w:ascii="仿宋_GB2312" w:hAnsi="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cs="仿宋_GB2312"/>
          <w:sz w:val="32"/>
          <w:szCs w:val="32"/>
          <w:lang w:val="en-US" w:eastAsia="zh-CN"/>
        </w:rPr>
        <w:t>17</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rPr>
        <w:t>烟台</w:t>
      </w:r>
      <w:r>
        <w:rPr>
          <w:rFonts w:hint="eastAsia" w:ascii="方正小标宋简体" w:hAnsi="方正小标宋简体" w:eastAsia="方正小标宋简体" w:cs="方正小标宋简体"/>
          <w:color w:val="auto"/>
          <w:sz w:val="44"/>
          <w:szCs w:val="44"/>
          <w:lang w:eastAsia="zh-CN"/>
        </w:rPr>
        <w:t>黄渤海新区</w:t>
      </w:r>
      <w:r>
        <w:rPr>
          <w:rFonts w:hint="eastAsia" w:ascii="方正小标宋简体" w:hAnsi="方正小标宋简体" w:eastAsia="方正小标宋简体" w:cs="方正小标宋简体"/>
          <w:color w:val="auto"/>
          <w:sz w:val="44"/>
          <w:szCs w:val="44"/>
        </w:rPr>
        <w:t>重污染天气应急预案</w:t>
      </w:r>
    </w:p>
    <w:p>
      <w:pPr>
        <w:spacing w:line="560" w:lineRule="exact"/>
        <w:ind w:firstLine="632" w:firstLineChars="200"/>
        <w:rPr>
          <w:rFonts w:hint="eastAsia" w:ascii="Times New Roman" w:eastAsia="黑体"/>
          <w:color w:val="auto"/>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eastAsia="黑体"/>
          <w:color w:val="auto"/>
        </w:rPr>
      </w:pPr>
      <w:r>
        <w:rPr>
          <w:rFonts w:hint="eastAsia" w:ascii="Times New Roman" w:eastAsia="黑体"/>
          <w:color w:val="auto"/>
        </w:rPr>
        <w:t>一、总则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color w:val="auto"/>
        </w:rPr>
      </w:pPr>
      <w:r>
        <w:rPr>
          <w:rFonts w:hint="eastAsia" w:ascii="楷体_GB2312" w:hAnsi="楷体_GB2312" w:eastAsia="楷体_GB2312" w:cs="楷体_GB2312"/>
          <w:color w:val="auto"/>
        </w:rPr>
        <w:t>（一）编制目的。</w:t>
      </w:r>
      <w:r>
        <w:rPr>
          <w:rFonts w:hint="eastAsia"/>
          <w:color w:val="auto"/>
        </w:rPr>
        <w:t>为有效应对重污染天气，保护人民群众身体健康，满足人民日益增长的优美生态环境需要，依据有关规定，制定本预案。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color w:val="auto"/>
        </w:rPr>
      </w:pPr>
      <w:r>
        <w:rPr>
          <w:rFonts w:hint="eastAsia" w:ascii="楷体_GB2312" w:hAnsi="楷体_GB2312" w:eastAsia="楷体_GB2312" w:cs="楷体_GB2312"/>
          <w:color w:val="auto"/>
        </w:rPr>
        <w:t>（二）编制依据。</w:t>
      </w:r>
      <w:r>
        <w:rPr>
          <w:rFonts w:hint="eastAsia"/>
          <w:color w:val="auto"/>
        </w:rPr>
        <w:t>《中华人民共和国环境保护法》《中华人民共和国大气污染防治法》《中华人民共和国突发事件应对法》《中共中央国务院关于深入打好污染防治攻坚战的意见》《山东省大气污染防治条例》《山东省突发事件应对条例》《山东省深入打好重污染天气消除、臭氧污染防治和柴油货车污染治理攻坚战行动方案》《山东省突发事件总体应急预案》《山东省重污染天气应急预案》</w:t>
      </w:r>
      <w:r>
        <w:rPr>
          <w:rFonts w:hint="eastAsia"/>
          <w:color w:val="auto"/>
          <w:lang w:eastAsia="zh-CN"/>
        </w:rPr>
        <w:t>《烟台市重污染天气应急预案》</w:t>
      </w:r>
      <w:r>
        <w:rPr>
          <w:rFonts w:hint="eastAsia"/>
          <w:color w:val="auto"/>
        </w:rPr>
        <w:t>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auto"/>
        </w:rPr>
      </w:pPr>
      <w:r>
        <w:rPr>
          <w:rFonts w:hint="eastAsia" w:ascii="楷体_GB2312" w:hAnsi="楷体_GB2312" w:eastAsia="楷体_GB2312" w:cs="楷体_GB2312"/>
          <w:color w:val="auto"/>
        </w:rPr>
        <w:t>（三）适用范围。</w:t>
      </w:r>
      <w:r>
        <w:rPr>
          <w:rFonts w:hint="eastAsia" w:ascii="仿宋_GB2312" w:hAnsi="仿宋_GB2312" w:eastAsia="仿宋_GB2312" w:cs="仿宋_GB2312"/>
          <w:color w:val="auto"/>
          <w:lang w:eastAsia="zh-CN"/>
        </w:rPr>
        <w:t>本预案适用于烟台黄渤海新区管辖范围</w:t>
      </w:r>
      <w:r>
        <w:rPr>
          <w:rFonts w:hint="eastAsia" w:ascii="仿宋_GB2312" w:hAnsi="仿宋_GB2312" w:eastAsia="仿宋_GB2312" w:cs="仿宋_GB2312"/>
          <w:color w:val="auto"/>
        </w:rPr>
        <w:t>内出现</w:t>
      </w:r>
      <w:r>
        <w:rPr>
          <w:rFonts w:hint="eastAsia" w:ascii="仿宋_GB2312" w:hAnsi="仿宋_GB2312" w:eastAsia="仿宋_GB2312" w:cs="仿宋_GB2312"/>
          <w:color w:val="auto"/>
          <w:lang w:eastAsia="zh-CN"/>
        </w:rPr>
        <w:t>重污染天气时的应急工作。对不同污染物造成的重污染天气，采取差异化应对措施。因</w:t>
      </w:r>
      <w:r>
        <w:rPr>
          <w:rFonts w:hint="eastAsia" w:ascii="仿宋_GB2312" w:hAnsi="仿宋_GB2312" w:eastAsia="仿宋_GB2312" w:cs="仿宋_GB2312"/>
          <w:color w:val="auto"/>
          <w:lang w:val="en-US" w:eastAsia="zh-CN"/>
        </w:rPr>
        <w:t>细颗粒物（PM2.5）污染造成的</w:t>
      </w:r>
      <w:r>
        <w:rPr>
          <w:rFonts w:hint="eastAsia" w:ascii="仿宋_GB2312" w:hAnsi="仿宋_GB2312" w:eastAsia="仿宋_GB2312" w:cs="仿宋_GB2312"/>
          <w:color w:val="auto"/>
        </w:rPr>
        <w:t>重污染天气</w:t>
      </w:r>
      <w:r>
        <w:rPr>
          <w:rFonts w:hint="eastAsia" w:ascii="仿宋_GB2312" w:hAnsi="仿宋_GB2312" w:eastAsia="仿宋_GB2312" w:cs="仿宋_GB2312"/>
          <w:color w:val="auto"/>
          <w:lang w:eastAsia="zh-CN"/>
        </w:rPr>
        <w:t>，应严格按照相关法律法规和本预案有关规定积极应对。因臭氧（</w:t>
      </w:r>
      <w:r>
        <w:rPr>
          <w:rFonts w:hint="eastAsia" w:ascii="仿宋_GB2312" w:hAnsi="仿宋_GB2312" w:eastAsia="仿宋_GB2312" w:cs="仿宋_GB2312"/>
          <w:color w:val="auto"/>
          <w:lang w:val="en-US" w:eastAsia="zh-CN"/>
        </w:rPr>
        <w:t>O3</w:t>
      </w:r>
      <w:r>
        <w:rPr>
          <w:rFonts w:hint="eastAsia" w:ascii="仿宋_GB2312" w:hAnsi="仿宋_GB2312" w:eastAsia="仿宋_GB2312" w:cs="仿宋_GB2312"/>
          <w:color w:val="auto"/>
          <w:lang w:eastAsia="zh-CN"/>
        </w:rPr>
        <w:t>）污染造成的重污染天气，应及时向社会发布健康提示信息，同时加强对挥发性有机物（</w:t>
      </w:r>
      <w:r>
        <w:rPr>
          <w:rFonts w:hint="eastAsia" w:ascii="仿宋_GB2312" w:hAnsi="仿宋_GB2312" w:eastAsia="仿宋_GB2312" w:cs="仿宋_GB2312"/>
          <w:color w:val="auto"/>
          <w:lang w:val="en-US" w:eastAsia="zh-CN"/>
        </w:rPr>
        <w:t>VOCs</w:t>
      </w:r>
      <w:r>
        <w:rPr>
          <w:rFonts w:hint="eastAsia" w:ascii="仿宋_GB2312" w:hAnsi="仿宋_GB2312" w:eastAsia="仿宋_GB2312" w:cs="仿宋_GB2312"/>
          <w:color w:val="auto"/>
          <w:lang w:eastAsia="zh-CN"/>
        </w:rPr>
        <w:t>）和氮氧化物（</w:t>
      </w:r>
      <w:r>
        <w:rPr>
          <w:rFonts w:hint="eastAsia" w:ascii="仿宋_GB2312" w:hAnsi="仿宋_GB2312" w:eastAsia="仿宋_GB2312" w:cs="仿宋_GB2312"/>
          <w:color w:val="auto"/>
          <w:lang w:val="en-US" w:eastAsia="zh-CN"/>
        </w:rPr>
        <w:t>NOx</w:t>
      </w:r>
      <w:r>
        <w:rPr>
          <w:rFonts w:hint="eastAsia" w:ascii="仿宋_GB2312" w:hAnsi="仿宋_GB2312" w:eastAsia="仿宋_GB2312" w:cs="仿宋_GB2312"/>
          <w:color w:val="auto"/>
          <w:lang w:eastAsia="zh-CN"/>
        </w:rPr>
        <w:t>）排放源的日常监管。因沙尘、山火、局地扬沙、国境外传输等不可控因素造成的重污染天气，应及时向社会发布健康提示信息，引导公众采取健康防护措施，可视情采取加强扬尘源管控等措施。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color w:val="auto"/>
        </w:rPr>
      </w:pPr>
      <w:r>
        <w:rPr>
          <w:rFonts w:hint="eastAsia" w:ascii="楷体_GB2312" w:hAnsi="楷体_GB2312" w:eastAsia="楷体_GB2312" w:cs="楷体_GB2312"/>
          <w:color w:val="auto"/>
        </w:rPr>
        <w:t>（四）预案体系。</w:t>
      </w:r>
      <w:r>
        <w:rPr>
          <w:rFonts w:hint="eastAsia"/>
          <w:color w:val="auto"/>
          <w:lang w:eastAsia="zh-CN"/>
        </w:rPr>
        <w:t>烟台黄渤海新区重污染天气应急预案体系包括本预案、各镇街、相关职能部门为落实</w:t>
      </w:r>
      <w:r>
        <w:rPr>
          <w:rFonts w:hint="eastAsia"/>
          <w:color w:val="auto"/>
        </w:rPr>
        <w:t>重污染天气应急</w:t>
      </w:r>
      <w:r>
        <w:rPr>
          <w:rFonts w:hint="eastAsia"/>
          <w:color w:val="auto"/>
          <w:lang w:eastAsia="zh-CN"/>
        </w:rPr>
        <w:t>预案制定的专项实施方案以及</w:t>
      </w:r>
      <w:r>
        <w:rPr>
          <w:rFonts w:hint="eastAsia"/>
          <w:color w:val="auto"/>
        </w:rPr>
        <w:t>辖区内列入限产、停产、轮产、错峰运输和错峰生产企业编制的重污染天气应急响应减排操作方案（以下简称减排操作方案）。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color w:val="auto"/>
        </w:rPr>
      </w:pPr>
      <w:r>
        <w:rPr>
          <w:rFonts w:hint="eastAsia" w:ascii="楷体_GB2312" w:hAnsi="楷体_GB2312" w:eastAsia="楷体_GB2312" w:cs="楷体_GB2312"/>
          <w:color w:val="auto"/>
        </w:rPr>
        <w:t>（五）工作原则。</w:t>
      </w:r>
      <w:r>
        <w:rPr>
          <w:rFonts w:hint="eastAsia"/>
          <w:color w:val="auto"/>
        </w:rPr>
        <w:t>以人为本，</w:t>
      </w:r>
      <w:r>
        <w:rPr>
          <w:rFonts w:hint="eastAsia"/>
          <w:color w:val="auto"/>
          <w:lang w:eastAsia="zh-CN"/>
        </w:rPr>
        <w:t>积极预防；统筹兼顾</w:t>
      </w:r>
      <w:r>
        <w:rPr>
          <w:rFonts w:hint="eastAsia"/>
          <w:color w:val="auto"/>
        </w:rPr>
        <w:t>，差异管控；</w:t>
      </w:r>
      <w:r>
        <w:rPr>
          <w:rFonts w:hint="eastAsia"/>
          <w:color w:val="auto"/>
          <w:lang w:eastAsia="zh-CN"/>
        </w:rPr>
        <w:t>属地负责，</w:t>
      </w:r>
      <w:r>
        <w:rPr>
          <w:rFonts w:hint="eastAsia"/>
          <w:color w:val="auto"/>
        </w:rPr>
        <w:t>部门联动；信息</w:t>
      </w:r>
      <w:r>
        <w:rPr>
          <w:rFonts w:hint="eastAsia"/>
          <w:color w:val="auto"/>
          <w:lang w:eastAsia="zh-CN"/>
        </w:rPr>
        <w:t>公开</w:t>
      </w:r>
      <w:r>
        <w:rPr>
          <w:rFonts w:hint="eastAsia"/>
          <w:color w:val="auto"/>
        </w:rPr>
        <w:t>，社会参与。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eastAsia="黑体"/>
          <w:color w:val="auto"/>
        </w:rPr>
      </w:pPr>
      <w:r>
        <w:rPr>
          <w:rFonts w:hint="eastAsia" w:ascii="Times New Roman" w:eastAsia="黑体"/>
          <w:color w:val="auto"/>
        </w:rPr>
        <w:t>二、组织机构及职责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color w:val="auto"/>
          <w:highlight w:val="none"/>
        </w:rPr>
      </w:pPr>
      <w:r>
        <w:rPr>
          <w:rFonts w:hint="eastAsia" w:ascii="楷体_GB2312" w:hAnsi="楷体_GB2312" w:eastAsia="楷体_GB2312" w:cs="楷体_GB2312"/>
          <w:color w:val="auto"/>
          <w:highlight w:val="none"/>
        </w:rPr>
        <w:t>（一）组织机构。</w:t>
      </w:r>
      <w:r>
        <w:rPr>
          <w:rFonts w:hint="eastAsia"/>
          <w:color w:val="auto"/>
          <w:highlight w:val="none"/>
          <w:lang w:eastAsia="zh-CN"/>
        </w:rPr>
        <w:t>区</w:t>
      </w:r>
      <w:r>
        <w:rPr>
          <w:rFonts w:hint="eastAsia"/>
          <w:color w:val="auto"/>
          <w:highlight w:val="none"/>
        </w:rPr>
        <w:t>重污染天气应急指挥部（以下简称</w:t>
      </w:r>
      <w:r>
        <w:rPr>
          <w:rFonts w:hint="eastAsia"/>
          <w:color w:val="auto"/>
          <w:highlight w:val="none"/>
          <w:lang w:eastAsia="zh-CN"/>
        </w:rPr>
        <w:t>区</w:t>
      </w:r>
      <w:r>
        <w:rPr>
          <w:rFonts w:hint="eastAsia"/>
          <w:color w:val="auto"/>
          <w:highlight w:val="none"/>
        </w:rPr>
        <w:t>应急指挥部）指挥长由</w:t>
      </w:r>
      <w:r>
        <w:rPr>
          <w:rFonts w:hint="eastAsia"/>
          <w:color w:val="auto"/>
          <w:highlight w:val="none"/>
          <w:lang w:eastAsia="zh-CN"/>
        </w:rPr>
        <w:t>管委</w:t>
      </w:r>
      <w:r>
        <w:rPr>
          <w:rFonts w:hint="eastAsia"/>
          <w:color w:val="auto"/>
          <w:highlight w:val="none"/>
        </w:rPr>
        <w:t>分管</w:t>
      </w:r>
      <w:r>
        <w:rPr>
          <w:rFonts w:hint="eastAsia"/>
          <w:color w:val="auto"/>
          <w:highlight w:val="none"/>
          <w:lang w:val="en-US" w:eastAsia="zh-CN"/>
        </w:rPr>
        <w:t>领导</w:t>
      </w:r>
      <w:r>
        <w:rPr>
          <w:rFonts w:hint="eastAsia"/>
          <w:color w:val="auto"/>
          <w:highlight w:val="none"/>
          <w:lang w:eastAsia="zh-CN"/>
        </w:rPr>
        <w:t>担任，</w:t>
      </w:r>
      <w:r>
        <w:rPr>
          <w:rFonts w:hint="eastAsia"/>
          <w:color w:val="auto"/>
          <w:highlight w:val="none"/>
        </w:rPr>
        <w:t>副指挥长由</w:t>
      </w:r>
      <w:r>
        <w:rPr>
          <w:rFonts w:hint="eastAsia"/>
          <w:color w:val="auto"/>
          <w:highlight w:val="none"/>
          <w:lang w:eastAsia="zh-CN"/>
        </w:rPr>
        <w:t>工委办公室分管副主任和</w:t>
      </w:r>
      <w:r>
        <w:rPr>
          <w:rFonts w:hint="eastAsia"/>
          <w:color w:val="auto"/>
          <w:highlight w:val="none"/>
        </w:rPr>
        <w:t>生态环境</w:t>
      </w:r>
      <w:r>
        <w:rPr>
          <w:rFonts w:hint="eastAsia"/>
          <w:color w:val="auto"/>
          <w:highlight w:val="none"/>
          <w:lang w:eastAsia="zh-CN"/>
        </w:rPr>
        <w:t>分局主要负责同志</w:t>
      </w:r>
      <w:r>
        <w:rPr>
          <w:rFonts w:hint="eastAsia"/>
          <w:color w:val="auto"/>
          <w:highlight w:val="none"/>
        </w:rPr>
        <w:t>担任，成员由</w:t>
      </w:r>
      <w:r>
        <w:rPr>
          <w:rFonts w:hint="eastAsia"/>
          <w:color w:val="auto"/>
          <w:highlight w:val="none"/>
          <w:lang w:eastAsia="zh-CN"/>
        </w:rPr>
        <w:t>工委宣传群团部</w:t>
      </w:r>
      <w:r>
        <w:rPr>
          <w:rFonts w:hint="eastAsia"/>
          <w:color w:val="auto"/>
          <w:highlight w:val="none"/>
        </w:rPr>
        <w:t>、</w:t>
      </w:r>
      <w:r>
        <w:rPr>
          <w:rFonts w:hint="eastAsia"/>
          <w:color w:val="auto"/>
          <w:highlight w:val="none"/>
          <w:lang w:eastAsia="zh-CN"/>
        </w:rPr>
        <w:t>生态环境分局、工信科技局、教体局、公安分局、建设交通局、综合执法局、气象局、供电公司、各街道办事处负责同志组成。区</w:t>
      </w:r>
      <w:r>
        <w:rPr>
          <w:rFonts w:hint="eastAsia"/>
          <w:color w:val="auto"/>
          <w:highlight w:val="none"/>
        </w:rPr>
        <w:t>应急指挥部下设办公室、预报预警组、</w:t>
      </w:r>
      <w:r>
        <w:rPr>
          <w:rFonts w:hint="eastAsia"/>
          <w:color w:val="auto"/>
          <w:highlight w:val="none"/>
          <w:lang w:eastAsia="zh-CN"/>
        </w:rPr>
        <w:t>信息公开和宣传组、</w:t>
      </w:r>
      <w:r>
        <w:rPr>
          <w:rFonts w:hint="eastAsia"/>
          <w:color w:val="auto"/>
          <w:highlight w:val="none"/>
        </w:rPr>
        <w:t>专家咨询组、督导检查组</w:t>
      </w:r>
      <w:r>
        <w:rPr>
          <w:rFonts w:hint="eastAsia"/>
          <w:color w:val="auto"/>
          <w:highlight w:val="none"/>
          <w:lang w:eastAsia="zh-CN"/>
        </w:rPr>
        <w:t>，</w:t>
      </w:r>
      <w:r>
        <w:rPr>
          <w:rFonts w:hint="eastAsia"/>
          <w:color w:val="auto"/>
          <w:highlight w:val="none"/>
        </w:rPr>
        <w:t>办公室设在生态环境</w:t>
      </w:r>
      <w:r>
        <w:rPr>
          <w:rFonts w:hint="eastAsia"/>
          <w:color w:val="auto"/>
          <w:highlight w:val="none"/>
          <w:lang w:eastAsia="zh-CN"/>
        </w:rPr>
        <w:t>分</w:t>
      </w:r>
      <w:r>
        <w:rPr>
          <w:rFonts w:hint="eastAsia"/>
          <w:color w:val="auto"/>
          <w:highlight w:val="none"/>
        </w:rPr>
        <w:t>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color w:val="auto"/>
        </w:rPr>
      </w:pPr>
      <w:r>
        <w:rPr>
          <w:rFonts w:hint="eastAsia" w:ascii="楷体_GB2312" w:hAnsi="楷体_GB2312" w:eastAsia="楷体_GB2312" w:cs="楷体_GB2312"/>
          <w:color w:val="auto"/>
          <w:highlight w:val="none"/>
        </w:rPr>
        <w:t>（二）机构职责。</w:t>
      </w:r>
      <w:r>
        <w:rPr>
          <w:rFonts w:hint="eastAsia"/>
          <w:color w:val="auto"/>
          <w:highlight w:val="none"/>
          <w:lang w:eastAsia="zh-CN"/>
        </w:rPr>
        <w:t>区应急</w:t>
      </w:r>
      <w:r>
        <w:rPr>
          <w:rFonts w:hint="eastAsia"/>
          <w:color w:val="auto"/>
        </w:rPr>
        <w:t>指挥部负责统一指挥、组织、协调全</w:t>
      </w:r>
      <w:r>
        <w:rPr>
          <w:rFonts w:hint="eastAsia"/>
          <w:color w:val="auto"/>
          <w:lang w:eastAsia="zh-CN"/>
        </w:rPr>
        <w:t>区</w:t>
      </w:r>
      <w:r>
        <w:rPr>
          <w:rFonts w:hint="eastAsia"/>
          <w:color w:val="auto"/>
        </w:rPr>
        <w:t>重污染天气预测预警、应急响应、检查评估以及责任追究等工作。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color w:val="auto"/>
        </w:rPr>
      </w:pPr>
      <w:r>
        <w:rPr>
          <w:rFonts w:hint="eastAsia"/>
          <w:color w:val="auto"/>
          <w:lang w:eastAsia="zh-CN"/>
        </w:rPr>
        <w:t>区</w:t>
      </w:r>
      <w:r>
        <w:rPr>
          <w:rFonts w:hint="eastAsia"/>
          <w:color w:val="auto"/>
        </w:rPr>
        <w:t>应急指挥部办公室负责组织落实</w:t>
      </w:r>
      <w:r>
        <w:rPr>
          <w:rFonts w:hint="eastAsia"/>
          <w:color w:val="auto"/>
          <w:lang w:eastAsia="zh-CN"/>
        </w:rPr>
        <w:t>区</w:t>
      </w:r>
      <w:r>
        <w:rPr>
          <w:rFonts w:hint="eastAsia"/>
          <w:color w:val="auto"/>
        </w:rPr>
        <w:t>应急指挥部决定事项；</w:t>
      </w:r>
      <w:r>
        <w:rPr>
          <w:rFonts w:hint="eastAsia"/>
          <w:color w:val="auto"/>
          <w:lang w:eastAsia="zh-CN"/>
        </w:rPr>
        <w:t>编制和完善辖区重污染应急预案和应急减排清单；</w:t>
      </w:r>
      <w:r>
        <w:rPr>
          <w:rFonts w:hint="eastAsia"/>
          <w:color w:val="auto"/>
        </w:rPr>
        <w:t>发布重污染天气预警，启动和终止重污染天气应急响应</w:t>
      </w:r>
      <w:r>
        <w:rPr>
          <w:rFonts w:hint="eastAsia"/>
          <w:color w:val="auto"/>
          <w:lang w:eastAsia="zh-CN"/>
        </w:rPr>
        <w:t>；</w:t>
      </w:r>
      <w:r>
        <w:rPr>
          <w:rFonts w:hint="eastAsia"/>
          <w:color w:val="auto"/>
        </w:rPr>
        <w:t>协调和督导各成员单位开展重污染天气应急管理工作；承担</w:t>
      </w:r>
      <w:r>
        <w:rPr>
          <w:rFonts w:hint="eastAsia"/>
          <w:color w:val="auto"/>
          <w:lang w:eastAsia="zh-CN"/>
        </w:rPr>
        <w:t>区</w:t>
      </w:r>
      <w:r>
        <w:rPr>
          <w:rFonts w:hint="eastAsia"/>
          <w:color w:val="auto"/>
        </w:rPr>
        <w:t>应急指挥部交办的其他工作。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eastAsia="仿宋_GB2312"/>
          <w:color w:val="auto"/>
          <w:lang w:eastAsia="zh-CN"/>
        </w:rPr>
      </w:pPr>
      <w:r>
        <w:rPr>
          <w:rFonts w:hint="eastAsia"/>
          <w:color w:val="auto"/>
        </w:rPr>
        <w:t>预报预警组由生态环境</w:t>
      </w:r>
      <w:r>
        <w:rPr>
          <w:rFonts w:hint="eastAsia"/>
          <w:color w:val="auto"/>
          <w:lang w:eastAsia="zh-CN"/>
        </w:rPr>
        <w:t>分</w:t>
      </w:r>
      <w:r>
        <w:rPr>
          <w:rFonts w:hint="eastAsia"/>
          <w:color w:val="auto"/>
        </w:rPr>
        <w:t>局、气象局组成，负责根据</w:t>
      </w:r>
      <w:r>
        <w:rPr>
          <w:rFonts w:hint="eastAsia"/>
          <w:color w:val="auto"/>
          <w:lang w:eastAsia="zh-CN"/>
        </w:rPr>
        <w:t>市级生态环境部门对空气质量和气象观测的数据及预警信息，</w:t>
      </w:r>
      <w:r>
        <w:rPr>
          <w:rFonts w:hint="eastAsia"/>
          <w:color w:val="auto"/>
        </w:rPr>
        <w:t>对</w:t>
      </w:r>
      <w:r>
        <w:rPr>
          <w:rFonts w:hint="eastAsia"/>
          <w:color w:val="auto"/>
          <w:lang w:eastAsia="zh-CN"/>
        </w:rPr>
        <w:t>区</w:t>
      </w:r>
      <w:r>
        <w:rPr>
          <w:rFonts w:hint="eastAsia"/>
          <w:color w:val="auto"/>
        </w:rPr>
        <w:t>大气环境质量进行监测预报，</w:t>
      </w:r>
      <w:r>
        <w:rPr>
          <w:rFonts w:hint="eastAsia"/>
          <w:color w:val="auto"/>
          <w:lang w:eastAsia="zh-CN"/>
        </w:rPr>
        <w:t>确定重污染天气的预报和预警信息。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color w:val="auto"/>
        </w:rPr>
      </w:pPr>
      <w:r>
        <w:rPr>
          <w:rFonts w:hint="eastAsia"/>
          <w:color w:val="auto"/>
        </w:rPr>
        <w:t>信息公开和宣传组由</w:t>
      </w:r>
      <w:r>
        <w:rPr>
          <w:rFonts w:hint="eastAsia"/>
          <w:color w:val="auto"/>
          <w:lang w:eastAsia="zh-CN"/>
        </w:rPr>
        <w:t>工委宣传群团部</w:t>
      </w:r>
      <w:r>
        <w:rPr>
          <w:rFonts w:hint="eastAsia"/>
          <w:color w:val="auto"/>
        </w:rPr>
        <w:t>、</w:t>
      </w:r>
      <w:r>
        <w:rPr>
          <w:rFonts w:hint="eastAsia"/>
          <w:color w:val="auto"/>
          <w:lang w:eastAsia="zh-CN"/>
        </w:rPr>
        <w:t>教体局、公安分局、生态环境分局组成，</w:t>
      </w:r>
      <w:r>
        <w:rPr>
          <w:rFonts w:hint="eastAsia"/>
          <w:color w:val="auto"/>
        </w:rPr>
        <w:t>负责重污染天气发生时的新闻宣传和舆情引导。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color w:val="auto"/>
        </w:rPr>
      </w:pPr>
      <w:r>
        <w:rPr>
          <w:rFonts w:hint="eastAsia"/>
          <w:color w:val="auto"/>
        </w:rPr>
        <w:t>专家咨询组由生态环境</w:t>
      </w:r>
      <w:r>
        <w:rPr>
          <w:rFonts w:hint="eastAsia"/>
          <w:color w:val="auto"/>
          <w:lang w:eastAsia="zh-CN"/>
        </w:rPr>
        <w:t>分</w:t>
      </w:r>
      <w:r>
        <w:rPr>
          <w:rFonts w:hint="eastAsia"/>
          <w:color w:val="auto"/>
        </w:rPr>
        <w:t>局、气象局聘请相关专家组</w:t>
      </w:r>
      <w:r>
        <w:rPr>
          <w:rFonts w:hint="eastAsia"/>
          <w:color w:val="auto"/>
          <w:lang w:eastAsia="zh-CN"/>
        </w:rPr>
        <w:t>建</w:t>
      </w:r>
      <w:r>
        <w:rPr>
          <w:rFonts w:hint="eastAsia"/>
          <w:color w:val="auto"/>
        </w:rPr>
        <w:t>，负责重污染天气发生时提供技术支持和对策建议。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color w:val="auto"/>
        </w:rPr>
      </w:pPr>
      <w:r>
        <w:rPr>
          <w:rFonts w:hint="eastAsia"/>
          <w:color w:val="auto"/>
        </w:rPr>
        <w:t>督导检查组由各成员单位相关负责人组成，负责对</w:t>
      </w:r>
      <w:r>
        <w:rPr>
          <w:rFonts w:hint="eastAsia"/>
          <w:color w:val="auto"/>
          <w:lang w:eastAsia="zh-CN"/>
        </w:rPr>
        <w:t>各镇街及</w:t>
      </w:r>
      <w:r>
        <w:rPr>
          <w:rFonts w:hint="eastAsia"/>
          <w:color w:val="auto"/>
        </w:rPr>
        <w:t>成员单位重污染天气应急准备、监测、预警、响应等职责落实情况进行监督检查，及时反馈有关情况并对履职不到位的提出问责处理意见。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color w:val="auto"/>
        </w:rPr>
      </w:pPr>
      <w:r>
        <w:rPr>
          <w:rFonts w:hint="eastAsia"/>
          <w:color w:val="auto"/>
          <w:lang w:eastAsia="zh-CN"/>
        </w:rPr>
        <w:t>区应急指挥部各成员单位职责分工表见附件。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eastAsia="黑体"/>
          <w:color w:val="auto"/>
        </w:rPr>
      </w:pPr>
      <w:r>
        <w:rPr>
          <w:rFonts w:hint="eastAsia" w:ascii="Times New Roman" w:eastAsia="黑体"/>
          <w:color w:val="auto"/>
        </w:rPr>
        <w:t>三、预警预报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color w:val="auto"/>
        </w:rPr>
      </w:pPr>
      <w:r>
        <w:rPr>
          <w:rFonts w:hint="eastAsia" w:ascii="楷体_GB2312" w:hAnsi="楷体_GB2312" w:eastAsia="楷体_GB2312" w:cs="楷体_GB2312"/>
          <w:color w:val="auto"/>
        </w:rPr>
        <w:t>（一）风险评估。</w:t>
      </w:r>
      <w:r>
        <w:rPr>
          <w:rFonts w:hint="eastAsia"/>
          <w:color w:val="auto"/>
        </w:rPr>
        <w:t>重污染天气是大气污染物排放、气象条件和二次转化综合作用的结果，影响人们正常生活，危害人体健康。因此，依法实施重污染天气应急减排，是预防和缓解重污染天气影响、保障群众身体健康的必要措施。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auto"/>
        </w:rPr>
      </w:pPr>
      <w:r>
        <w:rPr>
          <w:rFonts w:hint="eastAsia" w:ascii="楷体_GB2312" w:hAnsi="楷体_GB2312" w:eastAsia="楷体_GB2312" w:cs="楷体_GB2312"/>
          <w:color w:val="auto"/>
        </w:rPr>
        <w:t>（二）预警分级。</w:t>
      </w:r>
      <w:r>
        <w:rPr>
          <w:rFonts w:hint="eastAsia" w:ascii="仿宋_GB2312" w:hAnsi="仿宋_GB2312" w:eastAsia="仿宋_GB2312" w:cs="仿宋_GB2312"/>
          <w:color w:val="auto"/>
        </w:rPr>
        <w:t>重污染天气预警统一以空气质量指数（AQI）为指标。AQI</w:t>
      </w:r>
      <w:r>
        <w:rPr>
          <w:rFonts w:hint="eastAsia" w:ascii="仿宋_GB2312" w:hAnsi="仿宋_GB2312" w:eastAsia="仿宋_GB2312" w:cs="仿宋_GB2312"/>
          <w:color w:val="auto"/>
          <w:lang w:eastAsia="zh-CN"/>
        </w:rPr>
        <w:t>日均值按连续</w:t>
      </w:r>
      <w:r>
        <w:rPr>
          <w:rFonts w:hint="eastAsia" w:ascii="仿宋_GB2312" w:hAnsi="仿宋_GB2312" w:eastAsia="仿宋_GB2312" w:cs="仿宋_GB2312"/>
          <w:color w:val="auto"/>
          <w:lang w:val="en-US" w:eastAsia="zh-CN"/>
        </w:rPr>
        <w:t>24小时（可以跨自然日）均值计算。预警</w:t>
      </w:r>
      <w:r>
        <w:rPr>
          <w:rFonts w:hint="eastAsia" w:ascii="仿宋_GB2312" w:hAnsi="仿宋_GB2312" w:eastAsia="仿宋_GB2312" w:cs="仿宋_GB2312"/>
          <w:color w:val="auto"/>
        </w:rPr>
        <w:t>级别由低到高分为黄色、橙色和红色预警三级。</w:t>
      </w:r>
    </w:p>
    <w:p>
      <w:pPr>
        <w:pageBreakBefore w:val="0"/>
        <w:kinsoku/>
        <w:wordWrap/>
        <w:overflowPunct/>
        <w:topLinePunct w:val="0"/>
        <w:bidi w:val="0"/>
        <w:adjustRightInd/>
        <w:snapToGrid/>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黄色预警：预测日AQI&gt;200或日AQI&gt;150持续48小时及以上，且未达到高级别预警条件；</w:t>
      </w:r>
    </w:p>
    <w:p>
      <w:pPr>
        <w:pageBreakBefore w:val="0"/>
        <w:kinsoku/>
        <w:wordWrap/>
        <w:overflowPunct/>
        <w:topLinePunct w:val="0"/>
        <w:bidi w:val="0"/>
        <w:adjustRightInd/>
        <w:snapToGrid/>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橙色预警：预测日AQI&gt;200持续48小时或日AQI&gt;150持续72小时及以上，且未达到高级别预警条件；</w:t>
      </w:r>
    </w:p>
    <w:p>
      <w:pPr>
        <w:pageBreakBefore w:val="0"/>
        <w:kinsoku/>
        <w:wordWrap/>
        <w:overflowPunct/>
        <w:topLinePunct w:val="0"/>
        <w:bidi w:val="0"/>
        <w:adjustRightInd/>
        <w:snapToGrid/>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红色预警：预测日AQI&gt;200持续72小时且日AQI&gt;300持续24小时及以上。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楷体_GB2312" w:hAnsi="楷体_GB2312" w:eastAsia="楷体_GB2312" w:cs="楷体_GB2312"/>
          <w:color w:val="auto"/>
        </w:rPr>
      </w:pPr>
      <w:r>
        <w:rPr>
          <w:rFonts w:hint="eastAsia" w:ascii="楷体_GB2312" w:hAnsi="楷体_GB2312" w:eastAsia="楷体_GB2312" w:cs="楷体_GB2312"/>
          <w:color w:val="auto"/>
        </w:rPr>
        <w:t>（三）监测预报。</w:t>
      </w:r>
    </w:p>
    <w:p>
      <w:pPr>
        <w:pageBreakBefore w:val="0"/>
        <w:kinsoku/>
        <w:wordWrap/>
        <w:overflowPunct/>
        <w:topLinePunct w:val="0"/>
        <w:bidi w:val="0"/>
        <w:adjustRightInd/>
        <w:snapToGrid/>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1.监测。生态环境</w:t>
      </w:r>
      <w:r>
        <w:rPr>
          <w:rFonts w:hint="eastAsia" w:ascii="仿宋_GB2312" w:hAnsi="仿宋_GB2312" w:eastAsia="仿宋_GB2312" w:cs="仿宋_GB2312"/>
          <w:color w:val="auto"/>
          <w:lang w:eastAsia="zh-CN"/>
        </w:rPr>
        <w:t>分局</w:t>
      </w:r>
      <w:r>
        <w:rPr>
          <w:rFonts w:hint="eastAsia" w:ascii="仿宋_GB2312" w:hAnsi="仿宋_GB2312" w:eastAsia="仿宋_GB2312" w:cs="仿宋_GB2312"/>
          <w:color w:val="auto"/>
        </w:rPr>
        <w:t>、气象</w:t>
      </w:r>
      <w:r>
        <w:rPr>
          <w:rFonts w:hint="eastAsia" w:ascii="仿宋_GB2312" w:hAnsi="仿宋_GB2312" w:eastAsia="仿宋_GB2312" w:cs="仿宋_GB2312"/>
          <w:color w:val="auto"/>
          <w:lang w:val="en-US" w:eastAsia="zh-CN"/>
        </w:rPr>
        <w:t>局</w:t>
      </w:r>
      <w:r>
        <w:rPr>
          <w:rFonts w:hint="eastAsia" w:ascii="仿宋_GB2312" w:hAnsi="仿宋_GB2312" w:eastAsia="仿宋_GB2312" w:cs="仿宋_GB2312"/>
          <w:color w:val="auto"/>
          <w:lang w:eastAsia="zh-CN"/>
        </w:rPr>
        <w:t>根据市级部门对辖区内</w:t>
      </w:r>
      <w:r>
        <w:rPr>
          <w:rFonts w:hint="eastAsia" w:ascii="仿宋_GB2312" w:hAnsi="仿宋_GB2312" w:eastAsia="仿宋_GB2312" w:cs="仿宋_GB2312"/>
          <w:color w:val="auto"/>
        </w:rPr>
        <w:t>环境空气质量监测和气象状况观测，</w:t>
      </w:r>
      <w:r>
        <w:rPr>
          <w:rFonts w:hint="eastAsia" w:ascii="仿宋_GB2312" w:hAnsi="仿宋_GB2312" w:eastAsia="仿宋_GB2312" w:cs="仿宋_GB2312"/>
          <w:color w:val="auto"/>
          <w:lang w:eastAsia="zh-CN"/>
        </w:rPr>
        <w:t>利用市生态环境大数据平台</w:t>
      </w:r>
      <w:r>
        <w:rPr>
          <w:rFonts w:hint="eastAsia" w:ascii="仿宋_GB2312" w:hAnsi="仿宋_GB2312" w:eastAsia="仿宋_GB2312" w:cs="仿宋_GB2312"/>
          <w:color w:val="auto"/>
        </w:rPr>
        <w:t>做好数据收集处理、研判等工作并及时报送有关信息，为预报、会商、预警提供决策依据。</w:t>
      </w:r>
    </w:p>
    <w:p>
      <w:pPr>
        <w:pageBreakBefore w:val="0"/>
        <w:kinsoku/>
        <w:wordWrap/>
        <w:overflowPunct/>
        <w:topLinePunct w:val="0"/>
        <w:bidi w:val="0"/>
        <w:adjustRightInd/>
        <w:snapToGrid/>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2.预报。生态环境</w:t>
      </w:r>
      <w:r>
        <w:rPr>
          <w:rFonts w:hint="eastAsia" w:ascii="仿宋_GB2312" w:hAnsi="仿宋_GB2312" w:eastAsia="仿宋_GB2312" w:cs="仿宋_GB2312"/>
          <w:color w:val="auto"/>
          <w:lang w:eastAsia="zh-CN"/>
        </w:rPr>
        <w:t>分局</w:t>
      </w:r>
      <w:r>
        <w:rPr>
          <w:rFonts w:hint="eastAsia" w:ascii="仿宋_GB2312" w:hAnsi="仿宋_GB2312" w:eastAsia="仿宋_GB2312" w:cs="仿宋_GB2312"/>
          <w:color w:val="auto"/>
        </w:rPr>
        <w:t>、气象</w:t>
      </w:r>
      <w:r>
        <w:rPr>
          <w:rFonts w:hint="eastAsia" w:ascii="仿宋_GB2312" w:hAnsi="仿宋_GB2312" w:eastAsia="仿宋_GB2312" w:cs="仿宋_GB2312"/>
          <w:color w:val="auto"/>
          <w:lang w:val="en-US" w:eastAsia="zh-CN"/>
        </w:rPr>
        <w:t>局</w:t>
      </w:r>
      <w:r>
        <w:rPr>
          <w:rFonts w:hint="eastAsia" w:ascii="仿宋_GB2312" w:hAnsi="仿宋_GB2312" w:eastAsia="仿宋_GB2312" w:cs="仿宋_GB2312"/>
          <w:color w:val="auto"/>
        </w:rPr>
        <w:t>根据</w:t>
      </w:r>
      <w:r>
        <w:rPr>
          <w:rFonts w:hint="eastAsia" w:ascii="仿宋_GB2312" w:hAnsi="仿宋_GB2312" w:eastAsia="仿宋_GB2312" w:cs="仿宋_GB2312"/>
          <w:color w:val="auto"/>
          <w:lang w:eastAsia="zh-CN"/>
        </w:rPr>
        <w:t>市级部门发布的辖区内</w:t>
      </w:r>
      <w:r>
        <w:rPr>
          <w:rFonts w:hint="eastAsia" w:ascii="仿宋_GB2312" w:hAnsi="仿宋_GB2312" w:eastAsia="仿宋_GB2312" w:cs="仿宋_GB2312"/>
          <w:color w:val="auto"/>
        </w:rPr>
        <w:t>环境空气质量和气象条件变化特征，结合大气污染源排放情况，对未来7天环境空气质量进行预报，对未来10天环境空气质量变化趋势进行预测。</w:t>
      </w:r>
    </w:p>
    <w:p>
      <w:pPr>
        <w:pageBreakBefore w:val="0"/>
        <w:kinsoku/>
        <w:wordWrap/>
        <w:overflowPunct/>
        <w:topLinePunct w:val="0"/>
        <w:bidi w:val="0"/>
        <w:adjustRightInd/>
        <w:snapToGrid/>
        <w:ind w:firstLine="640"/>
        <w:textAlignment w:val="auto"/>
        <w:rPr>
          <w:rFonts w:hint="eastAsia" w:eastAsia="仿宋_GB2312"/>
          <w:color w:val="auto"/>
          <w:spacing w:val="-4"/>
          <w:lang w:val="en-US" w:eastAsia="zh-CN"/>
        </w:rPr>
      </w:pPr>
      <w:r>
        <w:rPr>
          <w:rFonts w:hint="eastAsia" w:ascii="仿宋_GB2312" w:hAnsi="仿宋_GB2312" w:eastAsia="仿宋_GB2312" w:cs="仿宋_GB2312"/>
          <w:color w:val="auto"/>
          <w:lang w:val="en-US" w:eastAsia="zh-CN"/>
        </w:rPr>
        <w:t>3.会商。生态环境分局、气象局应当建立重污染天气预报会商机制，预测未来可能出现的重污染天气。在重污染天气应急响应期间，加密会商频次，必要时组织专家开展集体会商。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楷体_GB2312" w:hAnsi="楷体_GB2312" w:eastAsia="楷体_GB2312" w:cs="楷体_GB2312"/>
          <w:color w:val="auto"/>
        </w:rPr>
      </w:pPr>
      <w:r>
        <w:rPr>
          <w:rFonts w:hint="eastAsia" w:ascii="楷体_GB2312" w:hAnsi="楷体_GB2312" w:eastAsia="楷体_GB2312" w:cs="楷体_GB2312"/>
          <w:color w:val="auto"/>
        </w:rPr>
        <w:t>（四）预警发布</w:t>
      </w:r>
      <w:r>
        <w:rPr>
          <w:rFonts w:hint="eastAsia" w:ascii="楷体_GB2312" w:hAnsi="楷体_GB2312" w:eastAsia="楷体_GB2312" w:cs="楷体_GB2312"/>
          <w:color w:val="auto"/>
          <w:lang w:eastAsia="zh-CN"/>
        </w:rPr>
        <w:t>、解除和调整</w:t>
      </w:r>
      <w:r>
        <w:rPr>
          <w:rFonts w:hint="eastAsia" w:ascii="楷体_GB2312" w:hAnsi="楷体_GB2312" w:eastAsia="楷体_GB2312" w:cs="楷体_GB2312"/>
          <w:color w:val="auto"/>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color w:val="auto"/>
        </w:rPr>
      </w:pPr>
      <w:r>
        <w:rPr>
          <w:rFonts w:hint="eastAsia"/>
          <w:color w:val="auto"/>
        </w:rPr>
        <w:t>重污染天气实行城市预警</w:t>
      </w:r>
      <w:r>
        <w:rPr>
          <w:rFonts w:hint="eastAsia"/>
          <w:color w:val="auto"/>
          <w:lang w:eastAsia="zh-CN"/>
        </w:rPr>
        <w:t>，发布和解除由市应急指挥部办公室负责，接到预警发布后，我区应同步启动相应级别的应急措施。</w:t>
      </w:r>
      <w:r>
        <w:rPr>
          <w:rFonts w:hint="eastAsia"/>
          <w:color w:val="auto"/>
        </w:rPr>
        <w:t>预警信息发布后</w:t>
      </w:r>
      <w:r>
        <w:rPr>
          <w:rFonts w:hint="eastAsia"/>
          <w:color w:val="auto"/>
          <w:lang w:eastAsia="zh-CN"/>
        </w:rPr>
        <w:t>，区</w:t>
      </w:r>
      <w:r>
        <w:rPr>
          <w:rFonts w:hint="eastAsia"/>
          <w:color w:val="auto"/>
        </w:rPr>
        <w:t>应急指挥部根据</w:t>
      </w:r>
      <w:r>
        <w:rPr>
          <w:rFonts w:hint="eastAsia"/>
          <w:color w:val="auto"/>
          <w:lang w:eastAsia="zh-CN"/>
        </w:rPr>
        <w:t>市</w:t>
      </w:r>
      <w:r>
        <w:rPr>
          <w:rFonts w:hint="eastAsia"/>
          <w:color w:val="auto"/>
        </w:rPr>
        <w:t>应急</w:t>
      </w:r>
      <w:r>
        <w:rPr>
          <w:rFonts w:hint="eastAsia"/>
          <w:color w:val="auto"/>
          <w:lang w:eastAsia="zh-CN"/>
        </w:rPr>
        <w:t>指挥部</w:t>
      </w:r>
      <w:r>
        <w:rPr>
          <w:rFonts w:hint="eastAsia"/>
          <w:color w:val="auto"/>
        </w:rPr>
        <w:t>发送的区域联动预警信息，及时启动相应级别预警；强化</w:t>
      </w:r>
      <w:r>
        <w:rPr>
          <w:rFonts w:hint="eastAsia"/>
          <w:color w:val="auto"/>
          <w:lang w:eastAsia="zh-CN"/>
        </w:rPr>
        <w:t>各部门</w:t>
      </w:r>
      <w:r>
        <w:rPr>
          <w:rFonts w:hint="eastAsia"/>
          <w:color w:val="auto"/>
        </w:rPr>
        <w:t>联防联控，开展监测、预报预警信息共享，协同开展重污染天气应急联动相关工作。当市应急指挥部未发布预警，</w:t>
      </w:r>
      <w:r>
        <w:rPr>
          <w:rFonts w:hint="eastAsia"/>
          <w:color w:val="auto"/>
          <w:lang w:eastAsia="zh-CN"/>
        </w:rPr>
        <w:t>辖区</w:t>
      </w:r>
      <w:r>
        <w:rPr>
          <w:rFonts w:hint="eastAsia"/>
          <w:color w:val="auto"/>
        </w:rPr>
        <w:t>达到相应预警启动条件时，由区重污染天气应急指挥部发布相应级别的预警，</w:t>
      </w:r>
      <w:r>
        <w:rPr>
          <w:rFonts w:hint="eastAsia"/>
          <w:color w:val="auto"/>
          <w:lang w:eastAsia="zh-CN"/>
        </w:rPr>
        <w:t>并结合空气质量变化情况，及时调整或解除预警，</w:t>
      </w:r>
      <w:r>
        <w:rPr>
          <w:rFonts w:hint="eastAsia"/>
          <w:color w:val="auto"/>
        </w:rPr>
        <w:t>预警信息发布后及时报市应急指挥部办公室备案。</w:t>
      </w:r>
    </w:p>
    <w:p>
      <w:pPr>
        <w:pageBreakBefore w:val="0"/>
        <w:kinsoku/>
        <w:wordWrap/>
        <w:overflowPunct/>
        <w:topLinePunct w:val="0"/>
        <w:bidi w:val="0"/>
        <w:adjustRightInd/>
        <w:snapToGrid/>
        <w:ind w:firstLine="640"/>
        <w:textAlignment w:val="auto"/>
        <w:rPr>
          <w:rFonts w:hint="eastAsia" w:ascii="仿宋_GB2312" w:hAnsi="仿宋_GB2312" w:eastAsia="仿宋_GB2312" w:cs="仿宋_GB2312"/>
          <w:color w:val="auto"/>
        </w:rPr>
      </w:pPr>
      <w:r>
        <w:rPr>
          <w:rFonts w:hint="eastAsia" w:ascii="楷体_GB2312" w:hAnsi="楷体_GB2312" w:eastAsia="楷体_GB2312" w:cs="楷体_GB2312"/>
          <w:color w:val="auto"/>
        </w:rPr>
        <w:t>（五）预警解除与调整。</w:t>
      </w:r>
      <w:r>
        <w:rPr>
          <w:rFonts w:hint="eastAsia" w:ascii="仿宋_GB2312" w:hAnsi="仿宋_GB2312" w:eastAsia="仿宋_GB2312" w:cs="仿宋_GB2312"/>
          <w:color w:val="auto"/>
        </w:rPr>
        <w:t>预警解除、预警等级的调整与预警发布的主体及程序保持一致。</w:t>
      </w:r>
    </w:p>
    <w:p>
      <w:pPr>
        <w:pageBreakBefore w:val="0"/>
        <w:kinsoku/>
        <w:wordWrap/>
        <w:overflowPunct/>
        <w:topLinePunct w:val="0"/>
        <w:bidi w:val="0"/>
        <w:adjustRightInd/>
        <w:snapToGrid/>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1.预警降级与解除。当空气质量改善到相应级别预警启动标准以下，且预测将持续36小时以上时，可以降低预警级别或解除预警，并提前发布信息。</w:t>
      </w:r>
    </w:p>
    <w:p>
      <w:pPr>
        <w:pageBreakBefore w:val="0"/>
        <w:kinsoku/>
        <w:wordWrap/>
        <w:overflowPunct/>
        <w:topLinePunct w:val="0"/>
        <w:bidi w:val="0"/>
        <w:adjustRightInd/>
        <w:snapToGrid/>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2.预警调整。当预测发生前后两次重污染过程，但间隔时间未达到解除预警条件时，应按一次重污染过程计算，从高级别启动预警。当预测或监测空气质量达到更高级别预警条件时，及时采取升级措施。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eastAsia="黑体"/>
          <w:color w:val="auto"/>
        </w:rPr>
      </w:pPr>
      <w:r>
        <w:rPr>
          <w:rFonts w:hint="eastAsia" w:ascii="Times New Roman" w:eastAsia="黑体"/>
          <w:color w:val="auto"/>
        </w:rPr>
        <w:t>四、应急响应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楷体_GB2312" w:hAnsi="楷体_GB2312" w:eastAsia="楷体_GB2312" w:cs="楷体_GB2312"/>
          <w:color w:val="auto"/>
        </w:rPr>
      </w:pPr>
      <w:r>
        <w:rPr>
          <w:rFonts w:hint="eastAsia" w:ascii="楷体_GB2312" w:hAnsi="楷体_GB2312" w:eastAsia="楷体_GB2312" w:cs="楷体_GB2312"/>
          <w:color w:val="auto"/>
        </w:rPr>
        <w:t>（一）应急响应分级。</w:t>
      </w:r>
    </w:p>
    <w:p>
      <w:pPr>
        <w:pageBreakBefore w:val="0"/>
        <w:kinsoku/>
        <w:wordWrap/>
        <w:overflowPunct/>
        <w:topLinePunct w:val="0"/>
        <w:bidi w:val="0"/>
        <w:adjustRightInd/>
        <w:snapToGrid/>
        <w:ind w:firstLine="640"/>
        <w:textAlignment w:val="auto"/>
        <w:rPr>
          <w:rFonts w:hint="eastAsia" w:ascii="仿宋_GB2312" w:hAnsi="仿宋_GB2312" w:eastAsia="仿宋_GB2312" w:cs="仿宋_GB2312"/>
          <w:color w:val="auto"/>
        </w:rPr>
      </w:pPr>
      <w:r>
        <w:rPr>
          <w:rFonts w:hint="eastAsia" w:ascii="楷体_GB2312" w:hAnsi="楷体_GB2312" w:eastAsia="楷体_GB2312" w:cs="楷体_GB2312"/>
          <w:color w:val="auto"/>
          <w:lang w:val="en-US" w:eastAsia="zh-CN"/>
        </w:rPr>
        <w:t>1.应急响应分级。</w:t>
      </w:r>
      <w:r>
        <w:rPr>
          <w:rFonts w:hint="eastAsia" w:ascii="仿宋_GB2312" w:hAnsi="仿宋_GB2312" w:eastAsia="仿宋_GB2312" w:cs="仿宋_GB2312"/>
          <w:color w:val="auto"/>
        </w:rPr>
        <w:t>对应预警分级，将应急响应分为三个等级，由低到高依次为Ⅲ级应急响应、Ⅱ级应急响应、Ⅰ级应急响应。</w:t>
      </w:r>
    </w:p>
    <w:p>
      <w:pPr>
        <w:pageBreakBefore w:val="0"/>
        <w:kinsoku/>
        <w:wordWrap/>
        <w:overflowPunct/>
        <w:topLinePunct w:val="0"/>
        <w:bidi w:val="0"/>
        <w:adjustRightInd/>
        <w:snapToGrid/>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（1）当发布黄色预警时，启动Ⅲ级应急响应。</w:t>
      </w:r>
    </w:p>
    <w:p>
      <w:pPr>
        <w:pageBreakBefore w:val="0"/>
        <w:kinsoku/>
        <w:wordWrap/>
        <w:overflowPunct/>
        <w:topLinePunct w:val="0"/>
        <w:bidi w:val="0"/>
        <w:adjustRightInd/>
        <w:snapToGrid/>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（2）当发布橙色预警时，启动Ⅱ级应急响应。</w:t>
      </w:r>
    </w:p>
    <w:p>
      <w:pPr>
        <w:pageBreakBefore w:val="0"/>
        <w:kinsoku/>
        <w:wordWrap/>
        <w:overflowPunct/>
        <w:topLinePunct w:val="0"/>
        <w:bidi w:val="0"/>
        <w:adjustRightInd/>
        <w:snapToGrid/>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（3）当发布红色预警时，启动I级应急响应。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color w:val="auto"/>
        </w:rPr>
      </w:pPr>
      <w:r>
        <w:rPr>
          <w:rFonts w:hint="eastAsia" w:ascii="楷体_GB2312" w:hAnsi="楷体_GB2312" w:eastAsia="楷体_GB2312" w:cs="楷体_GB2312"/>
          <w:color w:val="auto"/>
        </w:rPr>
        <w:t>（二）应急响应启动。</w:t>
      </w:r>
      <w:r>
        <w:rPr>
          <w:rFonts w:hint="eastAsia"/>
          <w:color w:val="auto"/>
        </w:rPr>
        <w:t>重污染天气预警信息发布后，</w:t>
      </w:r>
      <w:r>
        <w:rPr>
          <w:rFonts w:hint="eastAsia"/>
          <w:color w:val="auto"/>
          <w:lang w:eastAsia="zh-CN"/>
        </w:rPr>
        <w:t>区</w:t>
      </w:r>
      <w:r>
        <w:rPr>
          <w:rFonts w:hint="eastAsia"/>
          <w:color w:val="auto"/>
        </w:rPr>
        <w:t>应急指挥部</w:t>
      </w:r>
      <w:r>
        <w:rPr>
          <w:rFonts w:hint="eastAsia"/>
          <w:color w:val="auto"/>
          <w:lang w:eastAsia="zh-CN"/>
        </w:rPr>
        <w:t>按照应急预案及时启动</w:t>
      </w:r>
      <w:r>
        <w:rPr>
          <w:rFonts w:hint="eastAsia"/>
          <w:color w:val="auto"/>
        </w:rPr>
        <w:t>应急响应，</w:t>
      </w:r>
      <w:r>
        <w:rPr>
          <w:rFonts w:hint="eastAsia"/>
          <w:color w:val="auto"/>
          <w:lang w:eastAsia="zh-CN"/>
        </w:rPr>
        <w:t>并在管委网站发布应急响应公告，</w:t>
      </w:r>
      <w:r>
        <w:rPr>
          <w:rFonts w:hint="eastAsia"/>
          <w:color w:val="auto"/>
        </w:rPr>
        <w:t>采取与预警等级对应的应急响应措施。</w:t>
      </w:r>
      <w:r>
        <w:rPr>
          <w:rFonts w:hint="eastAsia"/>
          <w:color w:val="auto"/>
          <w:lang w:eastAsia="zh-CN"/>
        </w:rPr>
        <w:t>区</w:t>
      </w:r>
      <w:r>
        <w:rPr>
          <w:rFonts w:hint="eastAsia"/>
          <w:color w:val="auto"/>
        </w:rPr>
        <w:t>应急指挥部成员单位按照职责分工落实有关工作。</w:t>
      </w:r>
      <w:r>
        <w:rPr>
          <w:rFonts w:hint="eastAsia"/>
          <w:color w:val="auto"/>
          <w:lang w:eastAsia="zh-CN"/>
        </w:rPr>
        <w:t>适时派出督导检查组对有关企业和单位落实应急减排情况进行督导检查。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楷体_GB2312" w:hAnsi="楷体_GB2312" w:eastAsia="楷体_GB2312" w:cs="楷体_GB2312"/>
          <w:color w:val="auto"/>
        </w:rPr>
      </w:pPr>
      <w:r>
        <w:rPr>
          <w:rFonts w:hint="eastAsia" w:ascii="楷体_GB2312" w:hAnsi="楷体_GB2312" w:eastAsia="楷体_GB2312" w:cs="楷体_GB2312"/>
          <w:color w:val="auto"/>
        </w:rPr>
        <w:t>（三）减排要求。</w:t>
      </w:r>
    </w:p>
    <w:p>
      <w:pPr>
        <w:pageBreakBefore w:val="0"/>
        <w:kinsoku/>
        <w:wordWrap/>
        <w:overflowPunct/>
        <w:topLinePunct w:val="0"/>
        <w:bidi w:val="0"/>
        <w:adjustRightInd/>
        <w:snapToGrid/>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1.动态修订减排清单。</w:t>
      </w:r>
      <w:r>
        <w:rPr>
          <w:rFonts w:hint="eastAsia" w:ascii="仿宋_GB2312" w:hAnsi="仿宋_GB2312" w:eastAsia="仿宋_GB2312" w:cs="仿宋_GB2312"/>
          <w:color w:val="auto"/>
          <w:lang w:eastAsia="zh-CN"/>
        </w:rPr>
        <w:t>生态环境主管部门</w:t>
      </w:r>
      <w:r>
        <w:rPr>
          <w:rFonts w:hint="eastAsia" w:ascii="仿宋_GB2312" w:hAnsi="仿宋_GB2312" w:eastAsia="仿宋_GB2312" w:cs="仿宋_GB2312"/>
          <w:color w:val="auto"/>
        </w:rPr>
        <w:t>按照要求及时修订应急减排清单，充分利用排污许可证管理信息、污染源普查和源清单编制成果，</w:t>
      </w:r>
      <w:r>
        <w:rPr>
          <w:rFonts w:hint="eastAsia" w:ascii="仿宋_GB2312" w:hAnsi="仿宋_GB2312" w:eastAsia="仿宋_GB2312" w:cs="仿宋_GB2312"/>
          <w:color w:val="auto"/>
          <w:lang w:eastAsia="zh-CN"/>
        </w:rPr>
        <w:t>组织</w:t>
      </w:r>
      <w:r>
        <w:rPr>
          <w:rFonts w:hint="eastAsia" w:ascii="仿宋_GB2312" w:hAnsi="仿宋_GB2312" w:eastAsia="仿宋_GB2312" w:cs="仿宋_GB2312"/>
          <w:color w:val="auto"/>
        </w:rPr>
        <w:t>对重点涉气工业企业进行逐一排查，确保重点行业工业企业全部纳入应急减排清单，非重点行业但属于城市主要涉气企业的，也要纳入应急减排清单管理，其他行业视情纳入。避免对居民供暖锅炉和空气质量影响较小的生活服务业采取停限产措施。</w:t>
      </w:r>
    </w:p>
    <w:p>
      <w:pPr>
        <w:pageBreakBefore w:val="0"/>
        <w:kinsoku/>
        <w:wordWrap/>
        <w:overflowPunct/>
        <w:topLinePunct w:val="0"/>
        <w:bidi w:val="0"/>
        <w:adjustRightInd/>
        <w:snapToGrid/>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2.切实落实减排比例。认真核算应急减排基数和各级别预警条件下工业源、扬尘源和移动源清单的应急减排比例，确保满足应急减排要求，实现预期应急减排效果。</w:t>
      </w:r>
    </w:p>
    <w:p>
      <w:pPr>
        <w:pageBreakBefore w:val="0"/>
        <w:kinsoku/>
        <w:wordWrap/>
        <w:overflowPunct/>
        <w:topLinePunct w:val="0"/>
        <w:bidi w:val="0"/>
        <w:adjustRightInd/>
        <w:snapToGrid/>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应急响应期间，</w:t>
      </w:r>
      <w:r>
        <w:rPr>
          <w:rFonts w:hint="eastAsia" w:ascii="仿宋_GB2312" w:hAnsi="仿宋_GB2312" w:eastAsia="仿宋_GB2312" w:cs="仿宋_GB2312"/>
          <w:color w:val="auto"/>
        </w:rPr>
        <w:t>城市全社会二氧化硫（SO2）、氮氧化物（NOX）、</w:t>
      </w:r>
      <w:r>
        <w:rPr>
          <w:rFonts w:hint="eastAsia" w:ascii="仿宋_GB2312" w:hAnsi="仿宋_GB2312" w:eastAsia="仿宋_GB2312" w:cs="仿宋_GB2312"/>
          <w:color w:val="auto"/>
          <w:lang w:eastAsia="zh-CN"/>
        </w:rPr>
        <w:t>颗粒物（</w:t>
      </w:r>
      <w:r>
        <w:rPr>
          <w:rFonts w:hint="eastAsia" w:ascii="仿宋_GB2312" w:hAnsi="仿宋_GB2312" w:eastAsia="仿宋_GB2312" w:cs="仿宋_GB2312"/>
          <w:color w:val="auto"/>
          <w:lang w:val="en-US" w:eastAsia="zh-CN"/>
        </w:rPr>
        <w:t>PM</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挥发性有机物（VOCs）等主要污染物在Ⅲ级、Ⅱ级、Ⅰ级应急响应下，减排比例应分别达到10%、20%、30%以上，可根据实际调整SO2和NOx的减排比例，但二者减排比例之和在Ⅲ级、Ⅱ级、Ⅰ级应急响应下，不应低于20%、40%、60%。污染物减排目标要分解落实到工业源、移动源和扬尘源应急减排清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楷体_GB2312" w:hAnsi="楷体_GB2312" w:eastAsia="楷体_GB2312" w:cs="楷体_GB2312"/>
          <w:color w:val="auto"/>
        </w:rPr>
      </w:pPr>
      <w:r>
        <w:rPr>
          <w:rFonts w:hint="eastAsia" w:ascii="楷体_GB2312" w:hAnsi="楷体_GB2312" w:eastAsia="楷体_GB2312" w:cs="楷体_GB2312"/>
          <w:color w:val="auto"/>
        </w:rPr>
        <w:t>（四）应急响应措施。</w:t>
      </w:r>
    </w:p>
    <w:p>
      <w:pPr>
        <w:pageBreakBefore w:val="0"/>
        <w:kinsoku/>
        <w:wordWrap/>
        <w:overflowPunct/>
        <w:topLinePunct w:val="0"/>
        <w:bidi w:val="0"/>
        <w:adjustRightInd/>
        <w:snapToGrid/>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1.</w:t>
      </w:r>
      <w:r>
        <w:rPr>
          <w:rFonts w:hint="eastAsia" w:ascii="仿宋_GB2312" w:hAnsi="仿宋_GB2312" w:eastAsia="仿宋_GB2312" w:cs="仿宋_GB2312"/>
          <w:color w:val="auto"/>
          <w:lang w:val="en-US" w:eastAsia="zh-CN"/>
        </w:rPr>
        <w:t>实行</w:t>
      </w:r>
      <w:r>
        <w:rPr>
          <w:rFonts w:hint="eastAsia" w:ascii="仿宋_GB2312" w:hAnsi="仿宋_GB2312" w:eastAsia="仿宋_GB2312" w:cs="仿宋_GB2312"/>
          <w:color w:val="auto"/>
        </w:rPr>
        <w:t>差异化应急管控。为进一步突出精准治污、科学治污、依法治污，更好的保障公众身体健康，积极应对重污染天气，对重点行业工业企业实行绩效分级和差异化管控，对涉及民生需求的工业企业、重点建设工程实行应急保障。</w:t>
      </w:r>
    </w:p>
    <w:p>
      <w:pPr>
        <w:pageBreakBefore w:val="0"/>
        <w:kinsoku/>
        <w:wordWrap/>
        <w:overflowPunct/>
        <w:topLinePunct w:val="0"/>
        <w:bidi w:val="0"/>
        <w:adjustRightInd/>
        <w:snapToGrid/>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1）重点行业工业企业。依据生态环境部办公厅印发的《重污染天气重点行业应急减排措施制定技术指南（2020年修订版）》（以下简称《指南》）和《重污染天气重点行业绩效分级及减排措施补充说明》，持续对重点行业企业开展绩效分级，按照A、B、C、D四个等级和引领性、非引领性企业标准，在重污染天气期间实施差异化管控。评为A级和引领性的企业，可自主采取减排措施；B级及以下企业和非引领性企业，减排力度应不低于《指南》要求。规范企业绩效分级工作程序，确保绩效分级结果公开公平公正。</w:t>
      </w:r>
    </w:p>
    <w:p>
      <w:pPr>
        <w:pageBreakBefore w:val="0"/>
        <w:kinsoku/>
        <w:wordWrap/>
        <w:overflowPunct/>
        <w:topLinePunct w:val="0"/>
        <w:bidi w:val="0"/>
        <w:adjustRightInd/>
        <w:snapToGrid/>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2）保障类工业企业。对涉及居民供电、供暖、承担协同处置城市生活垃圾或危险废物、重大疫情防控物资生产、能源保供等保障民生和城市正常运转的工业企业以及涉军、涉政类生产企业，纳入保障类企业管理，实施“以热定产”或“以量定产”。原则上，重点行业内的保障类企业，应达到B级及以上绩效等级水平。对承担协同处置城市生活垃圾或危险废物等保障民生任务的企业，要统筹民生任务分配，严禁故意分散处置任务。对涉及外贸出口、战略性产业、新兴产业等工业企业，涉及教学用书、重大政治出版物印刷企业以及民生需求的农药、医药生产企业，可以纳入保障类清单，根据实际情况采取减排措施。对保障类企业要从严把关，确保污染防治设施高效完善、环境管理规范、运行稳定且达标排放。保障类企业在预警期间仅准许从事特定保障任务的生产经营，若超出允许生产经营范围，或未达到相关环保要求的，一经发现，立即移出保障类清单。</w:t>
      </w:r>
    </w:p>
    <w:p>
      <w:pPr>
        <w:pageBreakBefore w:val="0"/>
        <w:kinsoku/>
        <w:wordWrap/>
        <w:overflowPunct/>
        <w:topLinePunct w:val="0"/>
        <w:bidi w:val="0"/>
        <w:adjustRightInd/>
        <w:snapToGrid/>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（3）重点建设工程。对重点保障性建设工程，需要纳入保障类的，</w:t>
      </w:r>
      <w:r>
        <w:rPr>
          <w:rFonts w:hint="eastAsia" w:ascii="仿宋_GB2312" w:hAnsi="仿宋_GB2312" w:eastAsia="仿宋_GB2312" w:cs="仿宋_GB2312"/>
          <w:color w:val="auto"/>
          <w:lang w:eastAsia="zh-CN"/>
        </w:rPr>
        <w:t>逐级报省</w:t>
      </w:r>
      <w:r>
        <w:rPr>
          <w:rFonts w:hint="eastAsia" w:ascii="仿宋_GB2312" w:hAnsi="仿宋_GB2312" w:eastAsia="仿宋_GB2312" w:cs="仿宋_GB2312"/>
          <w:color w:val="auto"/>
        </w:rPr>
        <w:t>级相关主管部门确认后，在污染防治措施满足省、市</w:t>
      </w:r>
      <w:r>
        <w:rPr>
          <w:rFonts w:hint="eastAsia" w:ascii="仿宋_GB2312" w:hAnsi="仿宋_GB2312" w:eastAsia="仿宋_GB2312" w:cs="仿宋_GB2312"/>
          <w:color w:val="auto"/>
          <w:lang w:eastAsia="zh-CN"/>
        </w:rPr>
        <w:t>、区</w:t>
      </w:r>
      <w:r>
        <w:rPr>
          <w:rFonts w:hint="eastAsia" w:ascii="仿宋_GB2312" w:hAnsi="仿宋_GB2312" w:eastAsia="仿宋_GB2312" w:cs="仿宋_GB2312"/>
          <w:color w:val="auto"/>
        </w:rPr>
        <w:t>扬尘管控要求的情况下，纳入保障类清单，根据实际情况采取减排措施，不得采取全面停工、停产措施。如保障类工程未达到相关要求的，一经发现，立即移出保障类清单。</w:t>
      </w:r>
    </w:p>
    <w:p>
      <w:pPr>
        <w:pageBreakBefore w:val="0"/>
        <w:kinsoku/>
        <w:wordWrap/>
        <w:overflowPunct/>
        <w:topLinePunct w:val="0"/>
        <w:bidi w:val="0"/>
        <w:adjustRightInd/>
        <w:snapToGrid/>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4）小微涉气企业。对于非燃煤、非燃油，污染物组分单一、排放的大气污染物中无有毒有害及恶臭气体、污染物年排放总量100千克以下的企业（对于季节性生产企业，应按上述要求以日核算排放量），在满足城市总体减排要求的情况下，可不采取停限产措施。</w:t>
      </w:r>
    </w:p>
    <w:p>
      <w:pPr>
        <w:pageBreakBefore w:val="0"/>
        <w:kinsoku/>
        <w:wordWrap/>
        <w:overflowPunct/>
        <w:topLinePunct w:val="0"/>
        <w:bidi w:val="0"/>
        <w:adjustRightInd/>
        <w:snapToGrid/>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精准实施应急减排措施。对纳入应急减排清单的企业，应当组织制定企业减排操作方案，载明企业主要生产工艺流程、主要涉气产排污环节及污染物排放情况，并据此确定不同级别预警下的应急减排措施，明确具体的停限产生产装置、工艺环节和各类关键性指标，做到企业应急减排措施“可操作、可监测、可核查”。对生产工序简单，重污染天气预警期间实施全厂停产、整条生产线停产和轮流停产的工业企业，可只制定“重污染天气应急减排公示牌”。工业企业减排措施应以停止排放污染物的生产线或主要产排污环节（设备）为主；对不可临时中断</w:t>
      </w:r>
      <w:r>
        <w:rPr>
          <w:rFonts w:hint="eastAsia" w:ascii="仿宋_GB2312" w:hAnsi="仿宋_GB2312" w:eastAsia="仿宋_GB2312" w:cs="仿宋_GB2312"/>
          <w:color w:val="auto"/>
          <w:lang w:eastAsia="zh-CN"/>
        </w:rPr>
        <w:t>的生产线或生产工序</w:t>
      </w:r>
      <w:r>
        <w:rPr>
          <w:rFonts w:hint="eastAsia" w:ascii="仿宋_GB2312" w:hAnsi="仿宋_GB2312" w:eastAsia="仿宋_GB2312" w:cs="仿宋_GB2312"/>
          <w:color w:val="auto"/>
        </w:rPr>
        <w:t>，</w:t>
      </w:r>
      <w:r>
        <w:rPr>
          <w:rFonts w:hint="eastAsia" w:ascii="仿宋_GB2312" w:hAnsi="仿宋_GB2312" w:eastAsia="仿宋_GB2312" w:cs="仿宋_GB2312"/>
          <w:color w:val="auto"/>
          <w:lang w:eastAsia="zh-CN"/>
        </w:rPr>
        <w:t>应根据季节特点指导企业预先调整生产计划，确保预警期间能够落实减排措施；生产工序不可中断，</w:t>
      </w:r>
      <w:r>
        <w:rPr>
          <w:rFonts w:hint="eastAsia" w:ascii="仿宋_GB2312" w:hAnsi="仿宋_GB2312" w:eastAsia="仿宋_GB2312" w:cs="仿宋_GB2312"/>
          <w:color w:val="auto"/>
        </w:rPr>
        <w:t>通过采取提高治污效率、限制生产负荷等措施减排的</w:t>
      </w:r>
      <w:r>
        <w:rPr>
          <w:rFonts w:hint="eastAsia" w:ascii="仿宋_GB2312" w:hAnsi="仿宋_GB2312" w:eastAsia="仿宋_GB2312" w:cs="仿宋_GB2312"/>
          <w:color w:val="auto"/>
          <w:lang w:eastAsia="zh-CN"/>
        </w:rPr>
        <w:t>重点排污企业</w:t>
      </w:r>
      <w:r>
        <w:rPr>
          <w:rFonts w:hint="eastAsia" w:ascii="仿宋_GB2312" w:hAnsi="仿宋_GB2312" w:eastAsia="仿宋_GB2312" w:cs="仿宋_GB2312"/>
          <w:color w:val="auto"/>
        </w:rPr>
        <w:t>，</w:t>
      </w:r>
      <w:r>
        <w:rPr>
          <w:rFonts w:hint="eastAsia" w:ascii="仿宋_GB2312" w:hAnsi="仿宋_GB2312" w:eastAsia="仿宋_GB2312" w:cs="仿宋_GB2312"/>
          <w:color w:val="auto"/>
          <w:lang w:eastAsia="zh-CN"/>
        </w:rPr>
        <w:t>需安装烟气排放自动监控设施（</w:t>
      </w:r>
      <w:r>
        <w:rPr>
          <w:rFonts w:hint="eastAsia" w:ascii="仿宋_GB2312" w:hAnsi="仿宋_GB2312" w:eastAsia="仿宋_GB2312" w:cs="仿宋_GB2312"/>
          <w:color w:val="auto"/>
          <w:lang w:val="en-US" w:eastAsia="zh-CN"/>
        </w:rPr>
        <w:t>CEMS</w:t>
      </w:r>
      <w:r>
        <w:rPr>
          <w:rFonts w:hint="eastAsia" w:ascii="仿宋_GB2312" w:hAnsi="仿宋_GB2312" w:eastAsia="仿宋_GB2312" w:cs="仿宋_GB2312"/>
          <w:color w:val="auto"/>
          <w:lang w:eastAsia="zh-CN"/>
        </w:rPr>
        <w:t>），并提供</w:t>
      </w:r>
      <w:r>
        <w:rPr>
          <w:rFonts w:hint="eastAsia" w:ascii="仿宋_GB2312" w:hAnsi="仿宋_GB2312" w:eastAsia="仿宋_GB2312" w:cs="仿宋_GB2312"/>
          <w:color w:val="auto"/>
        </w:rPr>
        <w:t>分布式控制系统</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DCS</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一年以上的数据记录。避免对非涉气工序、生产设施采取停限产措施，确保应急管控措施精准到位，降低对企业正当生产经营的影响。</w:t>
      </w:r>
    </w:p>
    <w:p>
      <w:pPr>
        <w:pageBreakBefore w:val="0"/>
        <w:kinsoku/>
        <w:wordWrap/>
        <w:overflowPunct/>
        <w:topLinePunct w:val="0"/>
        <w:bidi w:val="0"/>
        <w:adjustRightInd/>
        <w:snapToGrid/>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3</w:t>
      </w:r>
      <w:r>
        <w:rPr>
          <w:rFonts w:hint="eastAsia" w:ascii="仿宋_GB2312" w:hAnsi="仿宋_GB2312" w:eastAsia="仿宋_GB2312" w:cs="仿宋_GB2312"/>
          <w:color w:val="auto"/>
        </w:rPr>
        <w:t>.认真落实安全生产要求。在重污染天气应对过程中，</w:t>
      </w:r>
      <w:r>
        <w:rPr>
          <w:rFonts w:hint="eastAsia" w:ascii="仿宋_GB2312" w:hAnsi="仿宋_GB2312" w:eastAsia="仿宋_GB2312" w:cs="仿宋_GB2312"/>
          <w:color w:val="auto"/>
          <w:lang w:eastAsia="zh-CN"/>
        </w:rPr>
        <w:t>要</w:t>
      </w:r>
      <w:r>
        <w:rPr>
          <w:rFonts w:hint="eastAsia" w:ascii="仿宋_GB2312" w:hAnsi="仿宋_GB2312" w:eastAsia="仿宋_GB2312" w:cs="仿宋_GB2312"/>
          <w:color w:val="auto"/>
        </w:rPr>
        <w:t>提醒企业自觉在污染防治设施启动、停运、检修时，严格落实安全生产相关要求，需要安全监管部门审批的，必须批准后方可实施。在监督检查过程中，要坚持实事求是，科学严谨，坚决防止施行强制措施产生安全隐患。</w:t>
      </w:r>
    </w:p>
    <w:p>
      <w:pPr>
        <w:pageBreakBefore w:val="0"/>
        <w:kinsoku/>
        <w:wordWrap/>
        <w:overflowPunct/>
        <w:topLinePunct w:val="0"/>
        <w:bidi w:val="0"/>
        <w:adjustRightInd/>
        <w:snapToGrid/>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4</w:t>
      </w: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分级响应措施。</w:t>
      </w:r>
      <w:r>
        <w:rPr>
          <w:rFonts w:hint="eastAsia" w:ascii="仿宋_GB2312" w:hAnsi="仿宋_GB2312" w:eastAsia="仿宋_GB2312" w:cs="仿宋_GB2312"/>
          <w:color w:val="auto"/>
        </w:rPr>
        <w:t>应急响应措施包括公众防护措施、倡议性污染减排措施和强制性污染减排措施。</w:t>
      </w:r>
    </w:p>
    <w:p>
      <w:pPr>
        <w:pageBreakBefore w:val="0"/>
        <w:kinsoku/>
        <w:wordWrap/>
        <w:overflowPunct/>
        <w:topLinePunct w:val="0"/>
        <w:bidi w:val="0"/>
        <w:adjustRightInd/>
        <w:snapToGrid/>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（1）Ⅲ级应急响应措施。Ⅲ级应急响应启动后，采取下列措施:</w:t>
      </w:r>
    </w:p>
    <w:p>
      <w:pPr>
        <w:pageBreakBefore w:val="0"/>
        <w:kinsoku/>
        <w:wordWrap/>
        <w:overflowPunct/>
        <w:topLinePunct w:val="0"/>
        <w:bidi w:val="0"/>
        <w:adjustRightInd/>
        <w:snapToGrid/>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①公众防护措施。儿童、老年人和呼吸道疾病患者等易感人群避免户外活动。中小学、幼儿园停止室外活动。</w:t>
      </w:r>
    </w:p>
    <w:p>
      <w:pPr>
        <w:pageBreakBefore w:val="0"/>
        <w:kinsoku/>
        <w:wordWrap/>
        <w:overflowPunct/>
        <w:topLinePunct w:val="0"/>
        <w:bidi w:val="0"/>
        <w:adjustRightInd/>
        <w:snapToGrid/>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②倡议性污染减排措施。倡导公众绿色消费、绿色出行，单位和公众尽量减少含挥发性有机物的涂料、油漆、溶剂等原材料及产品的使用。</w:t>
      </w:r>
    </w:p>
    <w:p>
      <w:pPr>
        <w:pageBreakBefore w:val="0"/>
        <w:kinsoku/>
        <w:wordWrap/>
        <w:overflowPunct/>
        <w:topLinePunct w:val="0"/>
        <w:bidi w:val="0"/>
        <w:adjustRightInd/>
        <w:snapToGrid/>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③强制性污染减排措施。</w:t>
      </w:r>
    </w:p>
    <w:p>
      <w:pPr>
        <w:pageBreakBefore w:val="0"/>
        <w:kinsoku/>
        <w:wordWrap/>
        <w:overflowPunct/>
        <w:topLinePunct w:val="0"/>
        <w:bidi w:val="0"/>
        <w:adjustRightInd/>
        <w:snapToGrid/>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工业源减排措施。执行重污染天气应急预案及工业源应急减排清单确定的黄色预警减排措施。</w:t>
      </w:r>
    </w:p>
    <w:p>
      <w:pPr>
        <w:pageBreakBefore w:val="0"/>
        <w:kinsoku/>
        <w:wordWrap/>
        <w:overflowPunct/>
        <w:topLinePunct w:val="0"/>
        <w:bidi w:val="0"/>
        <w:adjustRightInd/>
        <w:snapToGrid/>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扬尘源减排措施。执行扬尘源应急减排清单确定的黄色预警减排措施。矿山、砂石料场、石材厂、石板厂、港口码头易扬尘物料堆场、企业物料堆场等停止露天作业；除应急抢险外的施工工地禁止土石方作业、建筑拆除、喷涂粉刷、护坡喷浆、混凝土搅拌等；主干道和易产生扬尘路段在道路日常保洁、洒水的基础上，每天增加洒水降尘作业频次（结冰期等特殊气象情况除外）；禁止开展防火演练、烧除隔离带等野外用火行为。</w:t>
      </w:r>
    </w:p>
    <w:p>
      <w:pPr>
        <w:pageBreakBefore w:val="0"/>
        <w:kinsoku/>
        <w:wordWrap/>
        <w:overflowPunct/>
        <w:topLinePunct w:val="0"/>
        <w:bidi w:val="0"/>
        <w:adjustRightInd/>
        <w:snapToGrid/>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移动源减排措施。主城区内采取国四及以下排放标准柴油货车、三轮汽车、拖拉机等限制通行的措施。加大不合格非道路移动机械监督检查频次，依法查处违法行为。</w:t>
      </w:r>
    </w:p>
    <w:p>
      <w:pPr>
        <w:pageBreakBefore w:val="0"/>
        <w:kinsoku/>
        <w:wordWrap/>
        <w:overflowPunct/>
        <w:topLinePunct w:val="0"/>
        <w:bidi w:val="0"/>
        <w:adjustRightInd/>
        <w:snapToGrid/>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（2）Ⅱ级应急响应措施。Ⅱ级应急响应启动后，采取下列措施：</w:t>
      </w:r>
    </w:p>
    <w:p>
      <w:pPr>
        <w:pageBreakBefore w:val="0"/>
        <w:kinsoku/>
        <w:wordWrap/>
        <w:overflowPunct/>
        <w:topLinePunct w:val="0"/>
        <w:bidi w:val="0"/>
        <w:adjustRightInd/>
        <w:snapToGrid/>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①公众防护措施。儿童、老年人和呼吸道疾病患者等易感人群避免户外活动。中小学、幼儿园停止室外活动。停止举办大型群众性户外活动。</w:t>
      </w:r>
    </w:p>
    <w:p>
      <w:pPr>
        <w:pageBreakBefore w:val="0"/>
        <w:kinsoku/>
        <w:wordWrap/>
        <w:overflowPunct/>
        <w:topLinePunct w:val="0"/>
        <w:bidi w:val="0"/>
        <w:adjustRightInd/>
        <w:snapToGrid/>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②倡议性污染减排措施。倡导公众绿色消费、绿色出行，加大公共交通运力，合理调整城市公共交通工具运营频次和营运时间，提高公共交通出行率。单位和公众尽量减少含挥发性有机物的涂料、油漆、溶剂等原材料及产品的使用。</w:t>
      </w:r>
    </w:p>
    <w:p>
      <w:pPr>
        <w:pageBreakBefore w:val="0"/>
        <w:kinsoku/>
        <w:wordWrap/>
        <w:overflowPunct/>
        <w:topLinePunct w:val="0"/>
        <w:bidi w:val="0"/>
        <w:adjustRightInd/>
        <w:snapToGrid/>
        <w:ind w:firstLine="640"/>
        <w:textAlignment w:val="auto"/>
        <w:rPr>
          <w:rFonts w:hint="eastAsia" w:ascii="仿宋_GB2312" w:hAnsi="仿宋_GB2312" w:eastAsia="仿宋_GB2312" w:cs="仿宋_GB2312"/>
          <w:color w:val="auto"/>
        </w:rPr>
      </w:pPr>
      <w:bookmarkStart w:id="0" w:name="_Hlk50808350"/>
      <w:r>
        <w:rPr>
          <w:rFonts w:hint="eastAsia" w:ascii="仿宋_GB2312" w:hAnsi="仿宋_GB2312" w:eastAsia="仿宋_GB2312" w:cs="仿宋_GB2312"/>
          <w:color w:val="auto"/>
        </w:rPr>
        <w:t>③</w:t>
      </w:r>
      <w:bookmarkEnd w:id="0"/>
      <w:r>
        <w:rPr>
          <w:rFonts w:hint="eastAsia" w:ascii="仿宋_GB2312" w:hAnsi="仿宋_GB2312" w:eastAsia="仿宋_GB2312" w:cs="仿宋_GB2312"/>
          <w:color w:val="auto"/>
        </w:rPr>
        <w:t>强制性减排措施。</w:t>
      </w:r>
    </w:p>
    <w:p>
      <w:pPr>
        <w:pageBreakBefore w:val="0"/>
        <w:kinsoku/>
        <w:wordWrap/>
        <w:overflowPunct/>
        <w:topLinePunct w:val="0"/>
        <w:bidi w:val="0"/>
        <w:adjustRightInd/>
        <w:snapToGrid/>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工业源减排措施。执行重污染天气应急预案及工业源应急减排清单确定的橙色预警减排措施。</w:t>
      </w:r>
    </w:p>
    <w:p>
      <w:pPr>
        <w:pageBreakBefore w:val="0"/>
        <w:kinsoku/>
        <w:wordWrap/>
        <w:overflowPunct/>
        <w:topLinePunct w:val="0"/>
        <w:bidi w:val="0"/>
        <w:adjustRightInd/>
        <w:snapToGrid/>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扬尘源减排措施。执行扬尘源应急减排清单确定的橙色预警减排措施。矿山、砂石料场、石材厂、石板厂、港口码头易扬尘物料堆场、企业物料堆场等停止露天作业；除应急抢险外的施工工地禁止土石方作业、建筑拆除、喷涂粉刷、护坡喷浆、混凝土搅拌等；主干道和易产生扬尘路段在道路日常保洁、洒水的基础上，每天增加洒水降尘作业频次（结冰期等特殊气象情况除外）；禁止开展防火演练、烧除隔离带等野外用火行为。</w:t>
      </w:r>
    </w:p>
    <w:p>
      <w:pPr>
        <w:pageBreakBefore w:val="0"/>
        <w:kinsoku/>
        <w:wordWrap/>
        <w:overflowPunct/>
        <w:topLinePunct w:val="0"/>
        <w:bidi w:val="0"/>
        <w:adjustRightInd/>
        <w:snapToGrid/>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移动源减排措施。</w:t>
      </w:r>
      <w:r>
        <w:rPr>
          <w:rFonts w:hint="eastAsia" w:ascii="仿宋_GB2312" w:hAnsi="仿宋_GB2312" w:eastAsia="仿宋_GB2312" w:cs="仿宋_GB2312"/>
          <w:color w:val="auto"/>
          <w:lang w:eastAsia="zh-CN"/>
        </w:rPr>
        <w:t>未安装密闭装置易产生遗撒的煤炭、渣土、砂石料等运输车辆禁止上路。</w:t>
      </w:r>
      <w:r>
        <w:rPr>
          <w:rFonts w:hint="eastAsia" w:ascii="仿宋_GB2312" w:hAnsi="仿宋_GB2312" w:eastAsia="仿宋_GB2312" w:cs="仿宋_GB2312"/>
          <w:color w:val="auto"/>
        </w:rPr>
        <w:t>矿山、港口、物流（除民生保障类）等涉及大宗物料运输（日载货车辆进出10辆次以上）的单位，禁止使用国四及以下排放标准重型载货汽车（含燃气）进行运输（特种车辆、危化品车辆除外）。</w:t>
      </w:r>
      <w:bookmarkStart w:id="1" w:name="_Hlk121834309"/>
      <w:r>
        <w:rPr>
          <w:rFonts w:hint="eastAsia" w:ascii="仿宋_GB2312" w:hAnsi="仿宋_GB2312" w:eastAsia="仿宋_GB2312" w:cs="仿宋_GB2312"/>
          <w:color w:val="auto"/>
        </w:rPr>
        <w:t>除城市运行保障车辆和执行特种任务车辆外，城区内禁止国四及以下排放标准</w:t>
      </w:r>
      <w:r>
        <w:rPr>
          <w:rFonts w:hint="eastAsia" w:ascii="仿宋_GB2312" w:hAnsi="仿宋_GB2312" w:eastAsia="仿宋_GB2312" w:cs="仿宋_GB2312"/>
          <w:color w:val="auto"/>
          <w:lang w:eastAsia="zh-CN"/>
        </w:rPr>
        <w:t>微型和轻型柴油货车通行、三轮汽车</w:t>
      </w:r>
      <w:r>
        <w:rPr>
          <w:rFonts w:hint="eastAsia" w:ascii="仿宋_GB2312" w:hAnsi="仿宋_GB2312" w:eastAsia="仿宋_GB2312" w:cs="仿宋_GB2312"/>
          <w:color w:val="auto"/>
        </w:rPr>
        <w:t>、低速载货汽车和拖拉机通行。施工工地、工业企业厂区、工业园区</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物流园区</w:t>
      </w:r>
      <w:r>
        <w:rPr>
          <w:rFonts w:hint="eastAsia" w:ascii="仿宋_GB2312" w:hAnsi="仿宋_GB2312" w:eastAsia="仿宋_GB2312" w:cs="仿宋_GB2312"/>
          <w:color w:val="auto"/>
        </w:rPr>
        <w:t>和港口码头停止使用国二及以下排放标准非道路移动机械（清洁能源和紧急检修作业机械除外），加大不合格非道路移动机械监督检查频次，依法查处违法行为。</w:t>
      </w:r>
    </w:p>
    <w:bookmarkEnd w:id="1"/>
    <w:p>
      <w:pPr>
        <w:pageBreakBefore w:val="0"/>
        <w:kinsoku/>
        <w:wordWrap/>
        <w:overflowPunct/>
        <w:topLinePunct w:val="0"/>
        <w:bidi w:val="0"/>
        <w:adjustRightInd/>
        <w:snapToGrid/>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（3）Ⅰ级应急响应措施。Ⅰ级应急响应启动后，采取下列措施：</w:t>
      </w:r>
    </w:p>
    <w:p>
      <w:pPr>
        <w:pageBreakBefore w:val="0"/>
        <w:kinsoku/>
        <w:wordWrap/>
        <w:overflowPunct/>
        <w:topLinePunct w:val="0"/>
        <w:bidi w:val="0"/>
        <w:adjustRightInd/>
        <w:snapToGrid/>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①公众防护措施。儿童、老年人和呼吸道疾病患者等易感人群避免户外活动。中小学、幼儿园停止室外活动。停止举办大型群众性户外活动。在教育主管部门指导下，根据实际情况采取弹性教学等措施。接到红色预警且AQI日均值达到500时，学校可采取停课措施。</w:t>
      </w:r>
    </w:p>
    <w:p>
      <w:pPr>
        <w:pageBreakBefore w:val="0"/>
        <w:kinsoku/>
        <w:wordWrap/>
        <w:overflowPunct/>
        <w:topLinePunct w:val="0"/>
        <w:bidi w:val="0"/>
        <w:adjustRightInd/>
        <w:snapToGrid/>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②倡议性污染减排措施。倡导公众绿色消费、绿色出行，加大公共交通运力，合理调整城市公共交通工具营运频次和营运时间，提高公共交通出行率。单位和公众尽量减少含挥发性有机物的涂料、油漆、溶剂等原材料及产品的使用。</w:t>
      </w:r>
    </w:p>
    <w:p>
      <w:pPr>
        <w:pageBreakBefore w:val="0"/>
        <w:kinsoku/>
        <w:wordWrap/>
        <w:overflowPunct/>
        <w:topLinePunct w:val="0"/>
        <w:bidi w:val="0"/>
        <w:adjustRightInd/>
        <w:snapToGrid/>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③强制性减排措施。</w:t>
      </w:r>
    </w:p>
    <w:p>
      <w:pPr>
        <w:pageBreakBefore w:val="0"/>
        <w:kinsoku/>
        <w:wordWrap/>
        <w:overflowPunct/>
        <w:topLinePunct w:val="0"/>
        <w:bidi w:val="0"/>
        <w:adjustRightInd/>
        <w:snapToGrid/>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工业源减排措施。执行重污染天气应急预案及工业源应急减排清单确定的红色预警减排措施。</w:t>
      </w:r>
    </w:p>
    <w:p>
      <w:pPr>
        <w:pageBreakBefore w:val="0"/>
        <w:kinsoku/>
        <w:wordWrap/>
        <w:overflowPunct/>
        <w:topLinePunct w:val="0"/>
        <w:bidi w:val="0"/>
        <w:adjustRightInd/>
        <w:snapToGrid/>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扬尘源减排措施。执行扬尘源应急减排清单确定的红色预警减排措施。矿山、砂石料场、石材厂、石板厂、港口码头易扬尘物料堆场、企业物料堆场等停止露天作业；除应急抢险外的施工工地禁止土石方作业、建筑拆除、喷涂粉刷、护坡喷浆、混凝土搅拌等；主干道和易产生扬尘路段在道路日常保洁、洒水的基础上，每天增加洒水降尘作业频次（结冰期等特殊气象情况除外）；禁止开展防火演练、烧除隔离带等野外用火行为。</w:t>
      </w:r>
    </w:p>
    <w:p>
      <w:pPr>
        <w:pageBreakBefore w:val="0"/>
        <w:kinsoku/>
        <w:wordWrap/>
        <w:overflowPunct/>
        <w:topLinePunct w:val="0"/>
        <w:bidi w:val="0"/>
        <w:adjustRightInd/>
        <w:snapToGrid/>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移动源减排措施。</w:t>
      </w:r>
      <w:r>
        <w:rPr>
          <w:rFonts w:hint="eastAsia" w:ascii="仿宋_GB2312" w:hAnsi="仿宋_GB2312" w:eastAsia="仿宋_GB2312" w:cs="仿宋_GB2312"/>
          <w:color w:val="auto"/>
          <w:lang w:eastAsia="zh-CN"/>
        </w:rPr>
        <w:t>未安装密闭装置易产生遗撒的煤炭、渣土、砂石料等运输车辆禁止上路。</w:t>
      </w:r>
      <w:r>
        <w:rPr>
          <w:rFonts w:hint="eastAsia" w:ascii="仿宋_GB2312" w:hAnsi="仿宋_GB2312" w:eastAsia="仿宋_GB2312" w:cs="仿宋_GB2312"/>
          <w:color w:val="auto"/>
        </w:rPr>
        <w:t>矿山、港口、物流（除民生保障类）等涉及大宗物料运输（日载货车辆进出10辆次以上）的单位，禁止使用国四及以下排放标准重型载货汽车（含燃气）进行运输（特种车辆、危化品车辆除外）。除城市运行保障车辆和执行特种任务车辆外，城区内禁止国四及以下排放标准重型和中型柴油货车、三轮汽车、低速载货汽车和拖拉机通行。在此基础上，经应急指挥部同意，可采取限制部分机动车行驶等更加严格的机动车管控措施。施工工地、工业企业厂区、工业园区</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物流园区</w:t>
      </w:r>
      <w:r>
        <w:rPr>
          <w:rFonts w:hint="eastAsia" w:ascii="仿宋_GB2312" w:hAnsi="仿宋_GB2312" w:eastAsia="仿宋_GB2312" w:cs="仿宋_GB2312"/>
          <w:color w:val="auto"/>
        </w:rPr>
        <w:t>和港口码头停止使用国二及以下排放标准非道路移动机械（清洁能源和紧急检修作业机械除外），加大不合格非道路移动机械监督检查频次，依法查处违法行为。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color w:val="auto"/>
        </w:rPr>
      </w:pPr>
      <w:r>
        <w:rPr>
          <w:rFonts w:hint="eastAsia" w:ascii="楷体_GB2312" w:hAnsi="楷体_GB2312" w:eastAsia="楷体_GB2312" w:cs="楷体_GB2312"/>
          <w:color w:val="auto"/>
        </w:rPr>
        <w:t>（五）应急响应终止。</w:t>
      </w:r>
      <w:r>
        <w:rPr>
          <w:rFonts w:hint="eastAsia"/>
          <w:color w:val="auto"/>
        </w:rPr>
        <w:t>预警解除后，应急响应自动终止。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auto"/>
        </w:rPr>
      </w:pPr>
      <w:r>
        <w:rPr>
          <w:rFonts w:hint="eastAsia" w:ascii="楷体_GB2312" w:hAnsi="楷体_GB2312" w:eastAsia="楷体_GB2312" w:cs="楷体_GB2312"/>
          <w:color w:val="auto"/>
        </w:rPr>
        <w:t>（六）信息报送和总结评估。</w:t>
      </w:r>
      <w:r>
        <w:rPr>
          <w:rFonts w:hint="eastAsia" w:ascii="仿宋_GB2312" w:hAnsi="仿宋_GB2312" w:eastAsia="仿宋_GB2312" w:cs="仿宋_GB2312"/>
          <w:color w:val="auto"/>
          <w:lang w:eastAsia="zh-CN"/>
        </w:rPr>
        <w:t>区</w:t>
      </w:r>
      <w:r>
        <w:rPr>
          <w:rFonts w:hint="eastAsia" w:ascii="仿宋_GB2312" w:hAnsi="仿宋_GB2312" w:eastAsia="仿宋_GB2312" w:cs="仿宋_GB2312"/>
          <w:color w:val="auto"/>
        </w:rPr>
        <w:t>应急指挥部在启动重污染天气应急响应次日，向市应急指挥部报送前一日预警和应急响应情况，在应急响应终止3个工作日内对当次重污染天气应急情况进行总结。内容包括：重污染天气预警发布情况，应急响应情况，应急减排措施落实情况，应急措施环境效益、存在的问题及改进措施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eastAsia="黑体"/>
          <w:color w:val="auto"/>
        </w:rPr>
      </w:pPr>
      <w:r>
        <w:rPr>
          <w:rFonts w:hint="eastAsia" w:ascii="Times New Roman" w:eastAsia="黑体"/>
          <w:color w:val="auto"/>
        </w:rPr>
        <w:t>五、保障措施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color w:val="auto"/>
        </w:rPr>
      </w:pPr>
      <w:r>
        <w:rPr>
          <w:rFonts w:hint="eastAsia" w:ascii="楷体_GB2312" w:hAnsi="楷体_GB2312" w:eastAsia="楷体_GB2312" w:cs="楷体_GB2312"/>
          <w:color w:val="auto"/>
        </w:rPr>
        <w:t>（一）组织保障</w:t>
      </w:r>
      <w:r>
        <w:rPr>
          <w:rFonts w:hint="eastAsia" w:ascii="楷体_GB2312" w:hAnsi="楷体_GB2312" w:eastAsia="楷体_GB2312" w:cs="楷体_GB2312"/>
          <w:color w:val="auto"/>
          <w:spacing w:val="-4"/>
        </w:rPr>
        <w:t>。</w:t>
      </w:r>
      <w:r>
        <w:rPr>
          <w:rFonts w:hint="eastAsia"/>
          <w:color w:val="auto"/>
          <w:spacing w:val="-4"/>
          <w:lang w:eastAsia="zh-CN"/>
        </w:rPr>
        <w:t>重污染天气应急由区应急指挥</w:t>
      </w:r>
      <w:r>
        <w:rPr>
          <w:rFonts w:hint="eastAsia"/>
          <w:color w:val="auto"/>
          <w:spacing w:val="-4"/>
        </w:rPr>
        <w:t>部统一指挥，加强调度督导。</w:t>
      </w:r>
      <w:r>
        <w:rPr>
          <w:rFonts w:hint="eastAsia"/>
          <w:color w:val="auto"/>
          <w:spacing w:val="-4"/>
          <w:lang w:eastAsia="zh-CN"/>
        </w:rPr>
        <w:t>各镇街、有关部门</w:t>
      </w:r>
      <w:r>
        <w:rPr>
          <w:rFonts w:hint="eastAsia"/>
          <w:color w:val="auto"/>
          <w:spacing w:val="-4"/>
        </w:rPr>
        <w:t>要建立协同联动工作机制，</w:t>
      </w:r>
      <w:r>
        <w:rPr>
          <w:rFonts w:hint="eastAsia"/>
          <w:color w:val="auto"/>
          <w:spacing w:val="-4"/>
          <w:lang w:eastAsia="zh-CN"/>
        </w:rPr>
        <w:t>在应急指挥部指导下，</w:t>
      </w:r>
      <w:r>
        <w:rPr>
          <w:rFonts w:hint="eastAsia"/>
          <w:color w:val="auto"/>
          <w:spacing w:val="-4"/>
        </w:rPr>
        <w:t>统筹做好重污染天气预测、预警、应急响应、总结评估等工作，确保重污染天气得到妥善应对。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color w:val="auto"/>
        </w:rPr>
      </w:pPr>
      <w:r>
        <w:rPr>
          <w:rFonts w:hint="eastAsia" w:ascii="楷体_GB2312" w:hAnsi="楷体_GB2312" w:eastAsia="楷体_GB2312" w:cs="楷体_GB2312"/>
          <w:color w:val="auto"/>
        </w:rPr>
        <w:t>（二）经费保障。</w:t>
      </w:r>
      <w:r>
        <w:rPr>
          <w:rFonts w:hint="eastAsia"/>
          <w:color w:val="auto"/>
        </w:rPr>
        <w:t>要加大深入打好蓝天保卫战资金投入力度，将重污染天气应急所需资金按规定程序列入预算，为重污染天气应急预案及减排清单修订、监测预警、应急处置、监督检查，应急基础设施建设、运行和维护以及应急技术支持等各项工作提供经费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color w:val="auto"/>
        </w:rPr>
      </w:pPr>
      <w:r>
        <w:rPr>
          <w:rFonts w:hint="eastAsia" w:ascii="楷体_GB2312" w:hAnsi="楷体_GB2312" w:eastAsia="楷体_GB2312" w:cs="楷体_GB2312"/>
          <w:color w:val="auto"/>
        </w:rPr>
        <w:t>（三）物资保障。</w:t>
      </w:r>
      <w:r>
        <w:rPr>
          <w:rFonts w:hint="eastAsia"/>
          <w:color w:val="auto"/>
          <w:lang w:eastAsia="zh-CN"/>
        </w:rPr>
        <w:t>区应急指挥部应制定应急</w:t>
      </w:r>
      <w:r>
        <w:rPr>
          <w:rFonts w:hint="eastAsia"/>
          <w:color w:val="auto"/>
        </w:rPr>
        <w:t>期间应急仪器、车辆、人员防护装备调配计划，明确各项应急物资的储备维护主体、种类与数量。各有关部门应根据各自职能分工，配备种类齐全、数量充足的应急仪器、车辆和防护器材等硬件装备，做好日常管理和维护保养，确保重污染天气应对工作顺利开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color w:val="auto"/>
        </w:rPr>
      </w:pPr>
      <w:r>
        <w:rPr>
          <w:rFonts w:hint="eastAsia" w:ascii="楷体_GB2312" w:hAnsi="楷体_GB2312" w:eastAsia="楷体_GB2312" w:cs="楷体_GB2312"/>
          <w:color w:val="auto"/>
        </w:rPr>
        <w:t>（</w:t>
      </w:r>
      <w:r>
        <w:rPr>
          <w:rFonts w:hint="eastAsia" w:ascii="楷体_GB2312" w:hAnsi="楷体_GB2312" w:eastAsia="楷体_GB2312" w:cs="楷体_GB2312"/>
          <w:color w:val="auto"/>
          <w:lang w:eastAsia="zh-CN"/>
        </w:rPr>
        <w:t>四</w:t>
      </w:r>
      <w:r>
        <w:rPr>
          <w:rFonts w:hint="eastAsia" w:ascii="楷体_GB2312" w:hAnsi="楷体_GB2312" w:eastAsia="楷体_GB2312" w:cs="楷体_GB2312"/>
          <w:color w:val="auto"/>
        </w:rPr>
        <w:t>）</w:t>
      </w:r>
      <w:r>
        <w:rPr>
          <w:rFonts w:hint="eastAsia" w:ascii="楷体_GB2312" w:hAnsi="楷体_GB2312" w:eastAsia="楷体_GB2312" w:cs="楷体_GB2312"/>
          <w:color w:val="auto"/>
          <w:lang w:eastAsia="zh-CN"/>
        </w:rPr>
        <w:t>通讯和</w:t>
      </w:r>
      <w:r>
        <w:rPr>
          <w:rFonts w:hint="eastAsia" w:ascii="楷体_GB2312" w:hAnsi="楷体_GB2312" w:eastAsia="楷体_GB2312" w:cs="楷体_GB2312"/>
          <w:color w:val="auto"/>
        </w:rPr>
        <w:t>信息保障。</w:t>
      </w:r>
      <w:r>
        <w:rPr>
          <w:rFonts w:hint="eastAsia" w:ascii="仿宋_GB2312" w:hAnsi="仿宋_GB2312" w:eastAsia="仿宋_GB2312" w:cs="仿宋_GB2312"/>
          <w:color w:val="auto"/>
          <w:lang w:eastAsia="zh-CN"/>
        </w:rPr>
        <w:t>各镇街、有关部门要</w:t>
      </w:r>
      <w:r>
        <w:rPr>
          <w:rFonts w:hint="eastAsia" w:ascii="仿宋_GB2312" w:hAnsi="仿宋_GB2312" w:eastAsia="仿宋_GB2312" w:cs="仿宋_GB2312"/>
          <w:color w:val="auto"/>
        </w:rPr>
        <w:t>建立重污染天气应急值守制度，健全通信和信息保障机制，</w:t>
      </w:r>
      <w:r>
        <w:rPr>
          <w:rFonts w:hint="eastAsia" w:ascii="仿宋_GB2312" w:hAnsi="仿宋_GB2312" w:eastAsia="仿宋_GB2312" w:cs="仿宋_GB2312"/>
          <w:color w:val="auto"/>
          <w:lang w:eastAsia="zh-CN"/>
        </w:rPr>
        <w:t>建立应急组织机构通讯录，</w:t>
      </w:r>
      <w:r>
        <w:rPr>
          <w:rFonts w:hint="eastAsia" w:ascii="仿宋_GB2312" w:hAnsi="仿宋_GB2312" w:eastAsia="仿宋_GB2312" w:cs="仿宋_GB2312"/>
          <w:color w:val="auto"/>
        </w:rPr>
        <w:t>明确重污染天气应急负责人和联络员，并保持24小时通信畅通，保证应急信息和指令的及时有效传达。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eastAsia="黑体"/>
          <w:color w:val="auto"/>
        </w:rPr>
      </w:pPr>
      <w:r>
        <w:rPr>
          <w:rFonts w:hint="eastAsia" w:ascii="Times New Roman" w:eastAsia="黑体"/>
          <w:color w:val="auto"/>
        </w:rPr>
        <w:t>六、信息发布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color w:val="auto"/>
        </w:rPr>
      </w:pPr>
      <w:r>
        <w:rPr>
          <w:rFonts w:hint="eastAsia" w:ascii="楷体_GB2312" w:hAnsi="楷体_GB2312" w:eastAsia="楷体_GB2312" w:cs="楷体_GB2312"/>
          <w:color w:val="auto"/>
        </w:rPr>
        <w:t>（一）应急预案发布。</w:t>
      </w:r>
      <w:r>
        <w:rPr>
          <w:rFonts w:hint="eastAsia" w:ascii="Times New Roman"/>
          <w:color w:val="auto"/>
          <w:lang w:eastAsia="zh-CN"/>
        </w:rPr>
        <w:t>区</w:t>
      </w:r>
      <w:r>
        <w:rPr>
          <w:rFonts w:hint="eastAsia" w:ascii="Times New Roman"/>
          <w:color w:val="auto"/>
        </w:rPr>
        <w:t>应急指挥部按照国家</w:t>
      </w:r>
      <w:r>
        <w:rPr>
          <w:rFonts w:hint="eastAsia" w:ascii="Times New Roman"/>
          <w:color w:val="auto"/>
          <w:lang w:eastAsia="zh-CN"/>
        </w:rPr>
        <w:t>、</w:t>
      </w:r>
      <w:r>
        <w:rPr>
          <w:rFonts w:hint="eastAsia" w:ascii="Times New Roman"/>
          <w:color w:val="auto"/>
        </w:rPr>
        <w:t>省</w:t>
      </w:r>
      <w:r>
        <w:rPr>
          <w:rFonts w:hint="eastAsia" w:ascii="Times New Roman"/>
          <w:color w:val="auto"/>
          <w:lang w:eastAsia="zh-CN"/>
        </w:rPr>
        <w:t>、市</w:t>
      </w:r>
      <w:r>
        <w:rPr>
          <w:rFonts w:hint="eastAsia" w:ascii="Times New Roman"/>
          <w:color w:val="auto"/>
        </w:rPr>
        <w:t>有关要求及时组织修订城市应急预案和应急减排清单，按照国家</w:t>
      </w:r>
      <w:r>
        <w:rPr>
          <w:rFonts w:hint="eastAsia" w:ascii="Times New Roman"/>
          <w:color w:val="auto"/>
          <w:lang w:eastAsia="zh-CN"/>
        </w:rPr>
        <w:t>、</w:t>
      </w:r>
      <w:r>
        <w:rPr>
          <w:rFonts w:hint="eastAsia" w:ascii="Times New Roman"/>
          <w:color w:val="auto"/>
        </w:rPr>
        <w:t>省</w:t>
      </w:r>
      <w:r>
        <w:rPr>
          <w:rFonts w:hint="eastAsia" w:ascii="Times New Roman"/>
          <w:color w:val="auto"/>
          <w:lang w:eastAsia="zh-CN"/>
        </w:rPr>
        <w:t>、市</w:t>
      </w:r>
      <w:r>
        <w:rPr>
          <w:rFonts w:hint="eastAsia" w:ascii="Times New Roman"/>
          <w:color w:val="auto"/>
        </w:rPr>
        <w:t>规定的时间完成并向社会公布。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color w:val="auto"/>
        </w:rPr>
      </w:pPr>
      <w:r>
        <w:rPr>
          <w:rFonts w:hint="eastAsia" w:ascii="楷体_GB2312" w:hAnsi="楷体_GB2312" w:eastAsia="楷体_GB2312" w:cs="楷体_GB2312"/>
          <w:color w:val="auto"/>
          <w:lang w:eastAsia="zh-CN"/>
        </w:rPr>
        <w:t>（二）</w:t>
      </w:r>
      <w:r>
        <w:rPr>
          <w:rFonts w:hint="eastAsia" w:ascii="楷体_GB2312" w:hAnsi="楷体_GB2312" w:eastAsia="楷体_GB2312" w:cs="楷体_GB2312"/>
          <w:color w:val="auto"/>
        </w:rPr>
        <w:t>预警信息发布。</w:t>
      </w:r>
      <w:r>
        <w:rPr>
          <w:rFonts w:hint="eastAsia" w:ascii="Times New Roman"/>
          <w:color w:val="auto"/>
          <w:lang w:eastAsia="zh-CN"/>
        </w:rPr>
        <w:t>区</w:t>
      </w:r>
      <w:r>
        <w:rPr>
          <w:rFonts w:hint="eastAsia" w:ascii="Times New Roman"/>
          <w:color w:val="auto"/>
        </w:rPr>
        <w:t>应急指挥部负责重污染天气应急信息发布，</w:t>
      </w:r>
      <w:r>
        <w:rPr>
          <w:rFonts w:hint="eastAsia" w:ascii="Times New Roman"/>
          <w:color w:val="auto"/>
          <w:lang w:val="en-US" w:eastAsia="zh-CN"/>
        </w:rPr>
        <w:t>工委宣传群团部</w:t>
      </w:r>
      <w:r>
        <w:rPr>
          <w:rFonts w:hint="eastAsia" w:ascii="Times New Roman"/>
          <w:color w:val="auto"/>
        </w:rPr>
        <w:t>负责新闻宣传和舆情引导处置。预警期间信息发布的内容要包括环境空气质量监测数据、重污染天气可能持续的时间、污染程度、潜在的危害及防范建议、应急工作情况等。预警信息发布后，各有关部门和单位应当通过报刊、广播、网络、短信等途径告知公众采取健康防护措施，指导公众出行和调整其他相关社会活动。新闻媒体应按照预警发布部门要求，及时、无偿向社会公开发布预警信息。任何单位和个人不得擅自向社会发布重污染天气预报预警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eastAsia="黑体"/>
          <w:color w:val="auto"/>
        </w:rPr>
      </w:pPr>
      <w:r>
        <w:rPr>
          <w:rFonts w:hint="eastAsia" w:ascii="Times New Roman" w:eastAsia="黑体"/>
          <w:color w:val="auto"/>
        </w:rPr>
        <w:t>七、应急演练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color w:val="auto"/>
        </w:rPr>
      </w:pPr>
      <w:r>
        <w:rPr>
          <w:rFonts w:hint="eastAsia" w:ascii="Times New Roman"/>
          <w:color w:val="auto"/>
        </w:rPr>
        <w:t>原则上每年采暖季之前组织开展一次应急演练，重点检验重污染天气预警信息发布、应急响应措施落实、监督检查执行等情况，演练后及时总结评估，进一步完善应急措施和机制。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eastAsia="黑体"/>
          <w:color w:val="auto"/>
        </w:rPr>
      </w:pPr>
      <w:r>
        <w:rPr>
          <w:rFonts w:hint="eastAsia" w:ascii="Times New Roman" w:eastAsia="黑体"/>
          <w:color w:val="auto"/>
        </w:rPr>
        <w:t>八、预案管理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color w:val="auto"/>
        </w:rPr>
      </w:pPr>
      <w:r>
        <w:rPr>
          <w:rFonts w:hint="eastAsia" w:ascii="楷体_GB2312" w:hAnsi="楷体_GB2312" w:eastAsia="楷体_GB2312" w:cs="楷体_GB2312"/>
          <w:color w:val="auto"/>
        </w:rPr>
        <w:t>（一）预案宣传。</w:t>
      </w:r>
      <w:r>
        <w:rPr>
          <w:rFonts w:hint="eastAsia"/>
          <w:color w:val="auto"/>
        </w:rPr>
        <w:t>充分利用微信公众号、微博、电视、广播等网络及新闻媒体，加强应急预案及重污染天气应急法律法规、健康防护知识等的宣传，及时、准确发布重污染天气有关信息</w:t>
      </w:r>
      <w:r>
        <w:rPr>
          <w:rFonts w:hint="eastAsia"/>
          <w:color w:val="auto"/>
          <w:lang w:eastAsia="zh-CN"/>
        </w:rPr>
        <w:t>，积极正面引导舆论。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color w:val="auto"/>
        </w:rPr>
      </w:pPr>
      <w:r>
        <w:rPr>
          <w:rFonts w:hint="eastAsia" w:ascii="楷体_GB2312" w:hAnsi="楷体_GB2312" w:eastAsia="楷体_GB2312" w:cs="楷体_GB2312"/>
          <w:color w:val="auto"/>
        </w:rPr>
        <w:t>（二）预案培训。</w:t>
      </w:r>
      <w:r>
        <w:rPr>
          <w:rFonts w:hint="eastAsia"/>
          <w:color w:val="auto"/>
          <w:lang w:eastAsia="zh-CN"/>
        </w:rPr>
        <w:t>各有关部门应</w:t>
      </w:r>
      <w:r>
        <w:rPr>
          <w:rFonts w:hint="eastAsia"/>
          <w:color w:val="auto"/>
        </w:rPr>
        <w:t>建立健全重污染天气应急预案培训制度，根据应急预案职责分工，制定培训计划，明确培训对象和培训内容，确保各项应急措施安全、有效、全面落实。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color w:val="auto"/>
        </w:rPr>
      </w:pPr>
      <w:r>
        <w:rPr>
          <w:rFonts w:hint="eastAsia" w:ascii="楷体_GB2312" w:hAnsi="楷体_GB2312" w:eastAsia="楷体_GB2312" w:cs="楷体_GB2312"/>
          <w:color w:val="auto"/>
        </w:rPr>
        <w:t>（三）预案备案。</w:t>
      </w:r>
      <w:r>
        <w:rPr>
          <w:rFonts w:hint="eastAsia" w:ascii="楷体_GB2312" w:hAnsi="楷体_GB2312" w:eastAsia="楷体_GB2312" w:cs="楷体_GB2312"/>
          <w:color w:val="auto"/>
          <w:lang w:eastAsia="zh-CN"/>
        </w:rPr>
        <w:t>区</w:t>
      </w:r>
      <w:r>
        <w:rPr>
          <w:rFonts w:hint="eastAsia"/>
          <w:color w:val="auto"/>
        </w:rPr>
        <w:t>重污染天气应急预案应向</w:t>
      </w:r>
      <w:r>
        <w:rPr>
          <w:rFonts w:hint="eastAsia"/>
          <w:color w:val="auto"/>
          <w:lang w:eastAsia="zh-CN"/>
        </w:rPr>
        <w:t>市</w:t>
      </w:r>
      <w:r>
        <w:rPr>
          <w:rFonts w:hint="eastAsia"/>
          <w:color w:val="auto"/>
        </w:rPr>
        <w:t>生态环境局备案。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color w:val="auto"/>
        </w:rPr>
      </w:pPr>
      <w:r>
        <w:rPr>
          <w:rFonts w:hint="eastAsia"/>
          <w:color w:val="auto"/>
          <w:lang w:eastAsia="zh-CN"/>
        </w:rPr>
        <w:t>区</w:t>
      </w:r>
      <w:r>
        <w:rPr>
          <w:rFonts w:hint="eastAsia"/>
          <w:color w:val="auto"/>
        </w:rPr>
        <w:t>重污染天气应急指挥部相关成员单位</w:t>
      </w:r>
      <w:r>
        <w:rPr>
          <w:rFonts w:hint="eastAsia"/>
          <w:color w:val="auto"/>
          <w:lang w:eastAsia="zh-CN"/>
        </w:rPr>
        <w:t>要</w:t>
      </w:r>
      <w:r>
        <w:rPr>
          <w:rFonts w:hint="eastAsia"/>
          <w:color w:val="auto"/>
        </w:rPr>
        <w:t>制定</w:t>
      </w:r>
      <w:r>
        <w:rPr>
          <w:rFonts w:hint="eastAsia"/>
          <w:color w:val="auto"/>
          <w:lang w:eastAsia="zh-CN"/>
        </w:rPr>
        <w:t>本单位</w:t>
      </w:r>
      <w:r>
        <w:rPr>
          <w:rFonts w:hint="eastAsia"/>
          <w:color w:val="auto"/>
        </w:rPr>
        <w:t>重污染天气应急响应专项实施方案</w:t>
      </w:r>
      <w:r>
        <w:rPr>
          <w:rFonts w:hint="eastAsia"/>
          <w:color w:val="auto"/>
          <w:lang w:eastAsia="zh-CN"/>
        </w:rPr>
        <w:t>，并向区重污染天气应急指挥部备案。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color w:val="auto"/>
        </w:rPr>
      </w:pPr>
      <w:r>
        <w:rPr>
          <w:rFonts w:hint="eastAsia"/>
          <w:color w:val="auto"/>
        </w:rPr>
        <w:t>重点工业企业减排操作方案，应向</w:t>
      </w:r>
      <w:r>
        <w:rPr>
          <w:rFonts w:hint="eastAsia"/>
          <w:color w:val="auto"/>
          <w:lang w:eastAsia="zh-CN"/>
        </w:rPr>
        <w:t>生态环境分局</w:t>
      </w:r>
      <w:r>
        <w:rPr>
          <w:rFonts w:hint="eastAsia"/>
          <w:color w:val="auto"/>
        </w:rPr>
        <w:t>备案。</w:t>
      </w:r>
    </w:p>
    <w:p>
      <w:pPr>
        <w:pageBreakBefore w:val="0"/>
        <w:kinsoku/>
        <w:wordWrap/>
        <w:overflowPunct/>
        <w:topLinePunct w:val="0"/>
        <w:bidi w:val="0"/>
        <w:adjustRightInd/>
        <w:snapToGrid/>
        <w:ind w:firstLine="640"/>
        <w:textAlignment w:val="auto"/>
        <w:rPr>
          <w:rFonts w:hint="eastAsia" w:ascii="仿宋_GB2312" w:hAnsi="仿宋_GB2312" w:eastAsia="仿宋_GB2312" w:cs="仿宋_GB2312"/>
          <w:color w:val="auto"/>
        </w:rPr>
      </w:pPr>
      <w:r>
        <w:rPr>
          <w:rFonts w:hint="eastAsia" w:ascii="楷体_GB2312" w:hAnsi="楷体_GB2312" w:eastAsia="楷体_GB2312" w:cs="楷体_GB2312"/>
          <w:color w:val="auto"/>
        </w:rPr>
        <w:t>（四）预案修订条件。</w:t>
      </w:r>
      <w:r>
        <w:rPr>
          <w:rFonts w:hint="eastAsia" w:ascii="仿宋_GB2312" w:hAnsi="仿宋_GB2312" w:eastAsia="仿宋_GB2312" w:cs="仿宋_GB2312"/>
          <w:color w:val="auto"/>
        </w:rPr>
        <w:t>有下列情形之一的，应当及时修订应急预案:</w:t>
      </w:r>
    </w:p>
    <w:p>
      <w:pPr>
        <w:pageBreakBefore w:val="0"/>
        <w:kinsoku/>
        <w:wordWrap/>
        <w:overflowPunct/>
        <w:topLinePunct w:val="0"/>
        <w:bidi w:val="0"/>
        <w:adjustRightInd/>
        <w:snapToGrid/>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1.有关法律、行政法规、规章、标准、上位预案中的有关规定发生变化的;</w:t>
      </w:r>
    </w:p>
    <w:p>
      <w:pPr>
        <w:pageBreakBefore w:val="0"/>
        <w:kinsoku/>
        <w:wordWrap/>
        <w:overflowPunct/>
        <w:topLinePunct w:val="0"/>
        <w:bidi w:val="0"/>
        <w:adjustRightInd/>
        <w:snapToGrid/>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2.应急指挥部及其职责发生重大调整的；</w:t>
      </w:r>
    </w:p>
    <w:p>
      <w:pPr>
        <w:pageBreakBefore w:val="0"/>
        <w:kinsoku/>
        <w:wordWrap/>
        <w:overflowPunct/>
        <w:topLinePunct w:val="0"/>
        <w:bidi w:val="0"/>
        <w:adjustRightInd/>
        <w:snapToGrid/>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3.面临的风险发生重大变化的；</w:t>
      </w:r>
    </w:p>
    <w:p>
      <w:pPr>
        <w:pageBreakBefore w:val="0"/>
        <w:kinsoku/>
        <w:wordWrap/>
        <w:overflowPunct/>
        <w:topLinePunct w:val="0"/>
        <w:bidi w:val="0"/>
        <w:adjustRightInd/>
        <w:snapToGrid/>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4.重要应急资源发生重大变化的;</w:t>
      </w:r>
    </w:p>
    <w:p>
      <w:pPr>
        <w:pageBreakBefore w:val="0"/>
        <w:kinsoku/>
        <w:wordWrap/>
        <w:overflowPunct/>
        <w:topLinePunct w:val="0"/>
        <w:bidi w:val="0"/>
        <w:adjustRightInd/>
        <w:snapToGrid/>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5.预案中的其他重要信息发生变化的;</w:t>
      </w:r>
    </w:p>
    <w:p>
      <w:pPr>
        <w:pageBreakBefore w:val="0"/>
        <w:kinsoku/>
        <w:wordWrap/>
        <w:overflowPunct/>
        <w:topLinePunct w:val="0"/>
        <w:bidi w:val="0"/>
        <w:adjustRightInd/>
        <w:snapToGrid/>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6.在突发事件实际应对和应急演练中发现问题需要作出重大调整的;</w:t>
      </w:r>
    </w:p>
    <w:p>
      <w:pPr>
        <w:pageBreakBefore w:val="0"/>
        <w:kinsoku/>
        <w:wordWrap/>
        <w:overflowPunct/>
        <w:topLinePunct w:val="0"/>
        <w:bidi w:val="0"/>
        <w:adjustRightInd/>
        <w:snapToGrid/>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7.应急预案制定单位认为应当修订的其他情况。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eastAsia="黑体"/>
          <w:color w:val="auto"/>
        </w:rPr>
      </w:pPr>
      <w:r>
        <w:rPr>
          <w:rFonts w:hint="eastAsia" w:ascii="Times New Roman" w:eastAsia="黑体"/>
          <w:color w:val="auto"/>
        </w:rPr>
        <w:t>九、责任追究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color w:val="auto"/>
        </w:rPr>
      </w:pPr>
      <w:r>
        <w:rPr>
          <w:rFonts w:hint="eastAsia" w:ascii="Times New Roman"/>
          <w:color w:val="auto"/>
        </w:rPr>
        <w:t>加强对相关职能部门应对重污染天气履职情况的监督，对因工作不力、效率低下、履职缺位或慢作为不作为等导致未能有效应对重污染天气的，依规依纪依法追究责任。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color w:val="auto"/>
        </w:rPr>
      </w:pPr>
      <w:r>
        <w:rPr>
          <w:rFonts w:hint="eastAsia" w:ascii="Times New Roman"/>
          <w:color w:val="auto"/>
        </w:rPr>
        <w:t>强化企业主体责任，各有关部门和单位要认真做好对企事业单位应急措施落实情况的监督检查，对应急响应期间未落实应急减排措施要求、自动监测数据造假、生产记录造假等行为，严格依法追究责任。对已评定绩效等级的工业企业、保障类工业企业和重点建设工程等，未达到相应要求的，按规定对环保绩效降级处理或移出保障类清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eastAsia="黑体"/>
          <w:color w:val="auto"/>
        </w:rPr>
      </w:pPr>
      <w:r>
        <w:rPr>
          <w:rFonts w:hint="eastAsia" w:ascii="Times New Roman" w:eastAsia="黑体"/>
          <w:color w:val="auto"/>
        </w:rPr>
        <w:t>十、附则</w:t>
      </w:r>
    </w:p>
    <w:p>
      <w:pPr>
        <w:pageBreakBefore w:val="0"/>
        <w:kinsoku/>
        <w:wordWrap/>
        <w:overflowPunct/>
        <w:topLinePunct w:val="0"/>
        <w:bidi w:val="0"/>
        <w:adjustRightInd/>
        <w:snapToGrid/>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本预案自印发之日起施行。《关于印发</w:t>
      </w:r>
      <w:r>
        <w:rPr>
          <w:rFonts w:hint="eastAsia" w:ascii="仿宋_GB2312" w:hAnsi="仿宋_GB2312" w:eastAsia="仿宋_GB2312" w:cs="仿宋_GB2312"/>
          <w:color w:val="auto"/>
          <w:lang w:eastAsia="zh-CN"/>
        </w:rPr>
        <w:t>烟台黄渤海新区</w:t>
      </w:r>
      <w:r>
        <w:rPr>
          <w:rFonts w:hint="eastAsia" w:ascii="仿宋_GB2312" w:hAnsi="仿宋_GB2312" w:eastAsia="仿宋_GB2312" w:cs="仿宋_GB2312"/>
          <w:color w:val="auto"/>
        </w:rPr>
        <w:t>重污染天气应急预案的通知》（</w:t>
      </w:r>
      <w:r>
        <w:rPr>
          <w:rFonts w:hint="eastAsia" w:ascii="仿宋_GB2312" w:hAnsi="仿宋_GB2312" w:eastAsia="仿宋_GB2312" w:cs="仿宋_GB2312"/>
          <w:color w:val="auto"/>
          <w:lang w:eastAsia="zh-CN"/>
        </w:rPr>
        <w:t>烟黄新管办</w:t>
      </w:r>
      <w:r>
        <w:rPr>
          <w:rFonts w:hint="eastAsia" w:ascii="仿宋_GB2312" w:hAnsi="仿宋_GB2312" w:eastAsia="仿宋_GB2312" w:cs="仿宋_GB2312"/>
          <w:color w:val="auto"/>
        </w:rPr>
        <w:t>〔202</w:t>
      </w:r>
      <w:r>
        <w:rPr>
          <w:rFonts w:hint="eastAsia" w:ascii="仿宋_GB2312" w:hAnsi="仿宋_GB2312" w:eastAsia="仿宋_GB2312" w:cs="仿宋_GB2312"/>
          <w:color w:val="auto"/>
          <w:lang w:val="en-US" w:eastAsia="zh-CN"/>
        </w:rPr>
        <w:t>3</w:t>
      </w: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34</w:t>
      </w:r>
      <w:r>
        <w:rPr>
          <w:rFonts w:hint="eastAsia" w:ascii="仿宋_GB2312" w:hAnsi="仿宋_GB2312" w:eastAsia="仿宋_GB2312" w:cs="仿宋_GB2312"/>
          <w:color w:val="auto"/>
        </w:rPr>
        <w:t>号）同时停止执行。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240" w:lineRule="auto"/>
        <w:ind w:left="1580" w:leftChars="200" w:hanging="948" w:hangingChars="300"/>
        <w:textAlignment w:val="auto"/>
        <w:rPr>
          <w:rFonts w:hint="eastAsia" w:ascii="Times New Roman"/>
          <w:color w:val="auto"/>
        </w:rPr>
      </w:pPr>
      <w:r>
        <w:rPr>
          <w:rFonts w:hint="eastAsia" w:ascii="Times New Roman"/>
          <w:color w:val="auto"/>
        </w:rPr>
        <w:t>附件：烟台</w:t>
      </w:r>
      <w:r>
        <w:rPr>
          <w:rFonts w:hint="eastAsia" w:ascii="Times New Roman"/>
          <w:color w:val="auto"/>
          <w:lang w:eastAsia="zh-CN"/>
        </w:rPr>
        <w:t>黄渤海新区</w:t>
      </w:r>
      <w:r>
        <w:rPr>
          <w:rFonts w:hint="eastAsia" w:ascii="Times New Roman"/>
          <w:color w:val="auto"/>
        </w:rPr>
        <w:t>重污染天气应急指挥部各成员单位职责分工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olor w:val="auto"/>
        </w:rPr>
      </w:pPr>
      <w:r>
        <w:rPr>
          <w:rFonts w:hint="eastAsia" w:ascii="Times New Roman"/>
          <w:color w:val="auto"/>
        </w:rPr>
        <w:br w:type="page"/>
      </w:r>
      <w:r>
        <w:rPr>
          <w:rFonts w:hint="eastAsia" w:ascii="黑体" w:hAnsi="黑体" w:eastAsia="黑体"/>
          <w:color w:val="auto"/>
        </w:rPr>
        <w:t>附件</w:t>
      </w:r>
    </w:p>
    <w:p>
      <w:pPr>
        <w:keepNext w:val="0"/>
        <w:keepLines w:val="0"/>
        <w:pageBreakBefore w:val="0"/>
        <w:widowControl w:val="0"/>
        <w:kinsoku/>
        <w:wordWrap/>
        <w:overflowPunct/>
        <w:topLinePunct w:val="0"/>
        <w:autoSpaceDE/>
        <w:autoSpaceDN/>
        <w:bidi w:val="0"/>
        <w:adjustRightInd/>
        <w:snapToGrid/>
        <w:spacing w:before="120" w:line="580" w:lineRule="exact"/>
        <w:jc w:val="center"/>
        <w:textAlignment w:val="auto"/>
        <w:rPr>
          <w:rFonts w:hint="eastAsia" w:ascii="方正小标宋简体" w:eastAsia="方正小标宋简体"/>
          <w:color w:val="auto"/>
          <w:sz w:val="44"/>
          <w:szCs w:val="44"/>
        </w:rPr>
      </w:pPr>
      <w:r>
        <w:rPr>
          <w:rFonts w:hint="eastAsia" w:ascii="方正小标宋简体" w:eastAsia="方正小标宋简体"/>
          <w:color w:val="auto"/>
          <w:sz w:val="44"/>
          <w:szCs w:val="44"/>
        </w:rPr>
        <w:t>烟台</w:t>
      </w:r>
      <w:r>
        <w:rPr>
          <w:rFonts w:hint="eastAsia" w:ascii="方正小标宋简体" w:eastAsia="方正小标宋简体"/>
          <w:color w:val="auto"/>
          <w:sz w:val="44"/>
          <w:szCs w:val="44"/>
          <w:lang w:eastAsia="zh-CN"/>
        </w:rPr>
        <w:t>黄渤海新区</w:t>
      </w:r>
      <w:r>
        <w:rPr>
          <w:rFonts w:hint="eastAsia" w:ascii="方正小标宋简体" w:eastAsia="方正小标宋简体"/>
          <w:color w:val="auto"/>
          <w:sz w:val="44"/>
          <w:szCs w:val="44"/>
        </w:rPr>
        <w:t>重污染天气应急指挥部</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color w:val="auto"/>
          <w:sz w:val="44"/>
          <w:szCs w:val="44"/>
        </w:rPr>
      </w:pPr>
      <w:r>
        <w:rPr>
          <w:rFonts w:hint="eastAsia" w:ascii="方正小标宋简体" w:eastAsia="方正小标宋简体"/>
          <w:color w:val="auto"/>
          <w:sz w:val="44"/>
          <w:szCs w:val="44"/>
        </w:rPr>
        <w:t>各成员单位职责分工</w:t>
      </w:r>
    </w:p>
    <w:tbl>
      <w:tblPr>
        <w:tblStyle w:val="20"/>
        <w:tblW w:w="90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66"/>
        <w:gridCol w:w="1813"/>
        <w:gridCol w:w="6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64" w:hRule="atLeast"/>
          <w:tblHeader/>
          <w:jc w:val="center"/>
        </w:trPr>
        <w:tc>
          <w:tcPr>
            <w:tcW w:w="766" w:type="dxa"/>
            <w:noWrap w:val="0"/>
            <w:tcMar>
              <w:top w:w="0" w:type="dxa"/>
              <w:left w:w="105" w:type="dxa"/>
              <w:bottom w:w="0" w:type="dxa"/>
              <w:right w:w="105" w:type="dxa"/>
            </w:tcMar>
            <w:vAlign w:val="center"/>
          </w:tcPr>
          <w:p>
            <w:pPr>
              <w:adjustRightInd w:val="0"/>
              <w:snapToGrid w:val="0"/>
              <w:jc w:val="center"/>
              <w:rPr>
                <w:rFonts w:hint="eastAsia" w:ascii="黑体" w:hAnsi="黑体" w:eastAsia="黑体" w:cs="黑体"/>
                <w:color w:val="auto"/>
                <w:sz w:val="28"/>
                <w:szCs w:val="28"/>
              </w:rPr>
            </w:pPr>
            <w:r>
              <w:rPr>
                <w:rFonts w:hint="eastAsia" w:ascii="黑体" w:hAnsi="黑体" w:eastAsia="黑体" w:cs="黑体"/>
                <w:color w:val="auto"/>
                <w:sz w:val="28"/>
                <w:szCs w:val="28"/>
              </w:rPr>
              <w:t>序号</w:t>
            </w:r>
          </w:p>
        </w:tc>
        <w:tc>
          <w:tcPr>
            <w:tcW w:w="1813" w:type="dxa"/>
            <w:noWrap w:val="0"/>
            <w:tcMar>
              <w:top w:w="0" w:type="dxa"/>
              <w:left w:w="105" w:type="dxa"/>
              <w:bottom w:w="0" w:type="dxa"/>
              <w:right w:w="105" w:type="dxa"/>
            </w:tcMar>
            <w:vAlign w:val="center"/>
          </w:tcPr>
          <w:p>
            <w:pPr>
              <w:adjustRightInd w:val="0"/>
              <w:snapToGrid w:val="0"/>
              <w:jc w:val="center"/>
              <w:rPr>
                <w:rFonts w:hint="eastAsia" w:ascii="黑体" w:hAnsi="黑体" w:eastAsia="黑体" w:cs="黑体"/>
                <w:color w:val="auto"/>
                <w:sz w:val="28"/>
                <w:szCs w:val="28"/>
              </w:rPr>
            </w:pPr>
            <w:r>
              <w:rPr>
                <w:rFonts w:hint="eastAsia" w:ascii="黑体" w:hAnsi="黑体" w:eastAsia="黑体" w:cs="黑体"/>
                <w:color w:val="auto"/>
                <w:sz w:val="28"/>
                <w:szCs w:val="28"/>
              </w:rPr>
              <w:t>成员单位</w:t>
            </w:r>
          </w:p>
        </w:tc>
        <w:tc>
          <w:tcPr>
            <w:tcW w:w="6475" w:type="dxa"/>
            <w:noWrap w:val="0"/>
            <w:tcMar>
              <w:top w:w="0" w:type="dxa"/>
              <w:left w:w="105" w:type="dxa"/>
              <w:bottom w:w="0" w:type="dxa"/>
              <w:right w:w="105" w:type="dxa"/>
            </w:tcMar>
            <w:vAlign w:val="center"/>
          </w:tcPr>
          <w:p>
            <w:pPr>
              <w:adjustRightInd w:val="0"/>
              <w:snapToGrid w:val="0"/>
              <w:jc w:val="center"/>
              <w:rPr>
                <w:rFonts w:hint="eastAsia" w:ascii="黑体" w:hAnsi="黑体" w:eastAsia="黑体" w:cs="黑体"/>
                <w:color w:val="auto"/>
                <w:sz w:val="28"/>
                <w:szCs w:val="28"/>
              </w:rPr>
            </w:pPr>
            <w:r>
              <w:rPr>
                <w:rFonts w:hint="eastAsia" w:ascii="黑体" w:hAnsi="黑体" w:eastAsia="黑体" w:cs="黑体"/>
                <w:color w:val="auto"/>
                <w:sz w:val="28"/>
                <w:szCs w:val="28"/>
              </w:rPr>
              <w:t>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766" w:type="dxa"/>
            <w:noWrap w:val="0"/>
            <w:tcMar>
              <w:top w:w="0" w:type="dxa"/>
              <w:left w:w="105" w:type="dxa"/>
              <w:bottom w:w="0" w:type="dxa"/>
              <w:right w:w="105" w:type="dxa"/>
            </w:tcMar>
            <w:vAlign w:val="center"/>
          </w:tcPr>
          <w:p>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1813" w:type="dxa"/>
            <w:noWrap w:val="0"/>
            <w:tcMar>
              <w:top w:w="0" w:type="dxa"/>
              <w:left w:w="105" w:type="dxa"/>
              <w:bottom w:w="0" w:type="dxa"/>
              <w:right w:w="105" w:type="dxa"/>
            </w:tcMar>
            <w:vAlign w:val="center"/>
          </w:tcPr>
          <w:p>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工委宣传群团部</w:t>
            </w:r>
          </w:p>
        </w:tc>
        <w:tc>
          <w:tcPr>
            <w:tcW w:w="6475" w:type="dxa"/>
            <w:noWrap w:val="0"/>
            <w:tcMar>
              <w:top w:w="0" w:type="dxa"/>
              <w:left w:w="105" w:type="dxa"/>
              <w:bottom w:w="0" w:type="dxa"/>
              <w:right w:w="105" w:type="dxa"/>
            </w:tcMar>
            <w:vAlign w:val="center"/>
          </w:tcPr>
          <w:p>
            <w:pPr>
              <w:adjustRightInd w:val="0"/>
              <w:snapToGrid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负责协调新闻宣传和舆情处置工作、会同</w:t>
            </w:r>
            <w:r>
              <w:rPr>
                <w:rFonts w:hint="eastAsia" w:ascii="仿宋_GB2312" w:hAnsi="仿宋_GB2312" w:eastAsia="仿宋_GB2312" w:cs="仿宋_GB2312"/>
                <w:color w:val="auto"/>
                <w:sz w:val="24"/>
                <w:szCs w:val="24"/>
                <w:lang w:eastAsia="zh-CN"/>
              </w:rPr>
              <w:t>区</w:t>
            </w:r>
            <w:r>
              <w:rPr>
                <w:rFonts w:hint="eastAsia" w:ascii="仿宋_GB2312" w:hAnsi="仿宋_GB2312" w:eastAsia="仿宋_GB2312" w:cs="仿宋_GB2312"/>
                <w:color w:val="auto"/>
                <w:sz w:val="24"/>
                <w:szCs w:val="24"/>
              </w:rPr>
              <w:t>应急指挥部办公室适时组织召开新闻发布会或通气会。</w:t>
            </w:r>
          </w:p>
          <w:p>
            <w:pPr>
              <w:adjustRightInd w:val="0"/>
              <w:snapToGrid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完成</w:t>
            </w:r>
            <w:r>
              <w:rPr>
                <w:rFonts w:hint="eastAsia" w:ascii="仿宋_GB2312" w:hAnsi="仿宋_GB2312" w:eastAsia="仿宋_GB2312" w:cs="仿宋_GB2312"/>
                <w:color w:val="auto"/>
                <w:sz w:val="24"/>
                <w:szCs w:val="24"/>
                <w:lang w:eastAsia="zh-CN"/>
              </w:rPr>
              <w:t>区</w:t>
            </w:r>
            <w:r>
              <w:rPr>
                <w:rFonts w:hint="eastAsia" w:ascii="仿宋_GB2312" w:hAnsi="仿宋_GB2312" w:eastAsia="仿宋_GB2312" w:cs="仿宋_GB2312"/>
                <w:color w:val="auto"/>
                <w:sz w:val="24"/>
                <w:szCs w:val="24"/>
              </w:rPr>
              <w:t>应急指挥部交办的其他事项。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766" w:type="dxa"/>
            <w:noWrap w:val="0"/>
            <w:tcMar>
              <w:top w:w="0" w:type="dxa"/>
              <w:left w:w="105" w:type="dxa"/>
              <w:bottom w:w="0" w:type="dxa"/>
              <w:right w:w="105" w:type="dxa"/>
            </w:tcMar>
            <w:vAlign w:val="center"/>
          </w:tcPr>
          <w:p>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p>
        </w:tc>
        <w:tc>
          <w:tcPr>
            <w:tcW w:w="1813" w:type="dxa"/>
            <w:noWrap w:val="0"/>
            <w:tcMar>
              <w:top w:w="0" w:type="dxa"/>
              <w:left w:w="105" w:type="dxa"/>
              <w:bottom w:w="0" w:type="dxa"/>
              <w:right w:w="105" w:type="dxa"/>
            </w:tcMar>
            <w:vAlign w:val="center"/>
          </w:tcPr>
          <w:p>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生态环境分局</w:t>
            </w:r>
          </w:p>
        </w:tc>
        <w:tc>
          <w:tcPr>
            <w:tcW w:w="6475" w:type="dxa"/>
            <w:noWrap w:val="0"/>
            <w:tcMar>
              <w:top w:w="0" w:type="dxa"/>
              <w:left w:w="105" w:type="dxa"/>
              <w:bottom w:w="0" w:type="dxa"/>
              <w:right w:w="105" w:type="dxa"/>
            </w:tcMar>
            <w:vAlign w:val="center"/>
          </w:tcPr>
          <w:p>
            <w:pPr>
              <w:adjustRightInd w:val="0"/>
              <w:snapToGrid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负责联合气象部门开展重污染天气会商，提出预警建议；制定和完善</w:t>
            </w:r>
            <w:r>
              <w:rPr>
                <w:rFonts w:hint="eastAsia" w:ascii="仿宋_GB2312" w:hAnsi="仿宋_GB2312" w:eastAsia="仿宋_GB2312" w:cs="仿宋_GB2312"/>
                <w:color w:val="auto"/>
                <w:sz w:val="24"/>
                <w:szCs w:val="24"/>
                <w:lang w:eastAsia="zh-CN"/>
              </w:rPr>
              <w:t>区</w:t>
            </w:r>
            <w:r>
              <w:rPr>
                <w:rFonts w:hint="eastAsia" w:ascii="仿宋_GB2312" w:hAnsi="仿宋_GB2312" w:eastAsia="仿宋_GB2312" w:cs="仿宋_GB2312"/>
                <w:color w:val="auto"/>
                <w:sz w:val="24"/>
                <w:szCs w:val="24"/>
              </w:rPr>
              <w:t>级重污染天气应急预案</w:t>
            </w:r>
            <w:r>
              <w:rPr>
                <w:rFonts w:hint="eastAsia" w:ascii="仿宋_GB2312" w:hAnsi="仿宋_GB2312" w:eastAsia="仿宋_GB2312" w:cs="仿宋_GB2312"/>
                <w:color w:val="auto"/>
                <w:sz w:val="24"/>
                <w:szCs w:val="24"/>
                <w:lang w:eastAsia="zh-CN"/>
              </w:rPr>
              <w:t>，修订应急减排清单</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检查相关企业污染减排措施的落实情况，会同辖区有关部门落实企业</w:t>
            </w:r>
            <w:r>
              <w:rPr>
                <w:rFonts w:hint="eastAsia" w:ascii="仿宋_GB2312" w:hAnsi="仿宋_GB2312" w:eastAsia="仿宋_GB2312" w:cs="仿宋_GB2312"/>
                <w:color w:val="auto"/>
                <w:sz w:val="24"/>
                <w:szCs w:val="24"/>
              </w:rPr>
              <w:t>停产、限产</w:t>
            </w:r>
            <w:r>
              <w:rPr>
                <w:rFonts w:hint="eastAsia" w:ascii="仿宋_GB2312" w:hAnsi="仿宋_GB2312" w:eastAsia="仿宋_GB2312" w:cs="仿宋_GB2312"/>
                <w:color w:val="auto"/>
                <w:sz w:val="24"/>
                <w:szCs w:val="24"/>
                <w:lang w:eastAsia="zh-CN"/>
              </w:rPr>
              <w:t>、错峰生产的应急响应</w:t>
            </w:r>
            <w:r>
              <w:rPr>
                <w:rFonts w:hint="eastAsia" w:ascii="仿宋_GB2312" w:hAnsi="仿宋_GB2312" w:eastAsia="仿宋_GB2312" w:cs="仿宋_GB2312"/>
                <w:color w:val="auto"/>
                <w:sz w:val="24"/>
                <w:szCs w:val="24"/>
              </w:rPr>
              <w:t>措施；配合</w:t>
            </w:r>
            <w:r>
              <w:rPr>
                <w:rFonts w:hint="eastAsia" w:ascii="仿宋_GB2312" w:hAnsi="仿宋_GB2312" w:eastAsia="仿宋_GB2312" w:cs="仿宋_GB2312"/>
                <w:color w:val="auto"/>
                <w:sz w:val="24"/>
                <w:szCs w:val="24"/>
                <w:lang w:eastAsia="zh-CN"/>
              </w:rPr>
              <w:t>公安分局</w:t>
            </w:r>
            <w:r>
              <w:rPr>
                <w:rFonts w:hint="eastAsia" w:ascii="仿宋_GB2312" w:hAnsi="仿宋_GB2312" w:eastAsia="仿宋_GB2312" w:cs="仿宋_GB2312"/>
                <w:color w:val="auto"/>
                <w:sz w:val="24"/>
                <w:szCs w:val="24"/>
              </w:rPr>
              <w:t>等部门指导和监督落实高排放机动车控制措施。</w:t>
            </w:r>
          </w:p>
          <w:p>
            <w:pPr>
              <w:adjustRightInd w:val="0"/>
              <w:snapToGrid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完成</w:t>
            </w:r>
            <w:r>
              <w:rPr>
                <w:rFonts w:hint="eastAsia" w:ascii="仿宋_GB2312" w:hAnsi="仿宋_GB2312" w:eastAsia="仿宋_GB2312" w:cs="仿宋_GB2312"/>
                <w:color w:val="auto"/>
                <w:sz w:val="24"/>
                <w:szCs w:val="24"/>
                <w:lang w:eastAsia="zh-CN"/>
              </w:rPr>
              <w:t>区</w:t>
            </w:r>
            <w:r>
              <w:rPr>
                <w:rFonts w:hint="eastAsia" w:ascii="仿宋_GB2312" w:hAnsi="仿宋_GB2312" w:eastAsia="仿宋_GB2312" w:cs="仿宋_GB2312"/>
                <w:color w:val="auto"/>
                <w:sz w:val="24"/>
                <w:szCs w:val="24"/>
              </w:rPr>
              <w:t>应急指挥部交办的其他事项。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766" w:type="dxa"/>
            <w:noWrap w:val="0"/>
            <w:tcMar>
              <w:top w:w="0" w:type="dxa"/>
              <w:left w:w="105" w:type="dxa"/>
              <w:bottom w:w="0" w:type="dxa"/>
              <w:right w:w="105" w:type="dxa"/>
            </w:tcMar>
            <w:vAlign w:val="center"/>
          </w:tcPr>
          <w:p>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p>
        </w:tc>
        <w:tc>
          <w:tcPr>
            <w:tcW w:w="1813" w:type="dxa"/>
            <w:noWrap w:val="0"/>
            <w:tcMar>
              <w:top w:w="0" w:type="dxa"/>
              <w:left w:w="105" w:type="dxa"/>
              <w:bottom w:w="0" w:type="dxa"/>
              <w:right w:w="105" w:type="dxa"/>
            </w:tcMar>
            <w:vAlign w:val="center"/>
          </w:tcPr>
          <w:p>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财政局</w:t>
            </w:r>
          </w:p>
        </w:tc>
        <w:tc>
          <w:tcPr>
            <w:tcW w:w="6475" w:type="dxa"/>
            <w:noWrap w:val="0"/>
            <w:tcMar>
              <w:top w:w="0" w:type="dxa"/>
              <w:left w:w="105" w:type="dxa"/>
              <w:bottom w:w="0" w:type="dxa"/>
              <w:right w:w="105" w:type="dxa"/>
            </w:tcMar>
            <w:vAlign w:val="center"/>
          </w:tcPr>
          <w:p>
            <w:pPr>
              <w:adjustRightInd w:val="0"/>
              <w:snapToGrid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将重污染天气应急所需资金按规定程序列入预算，为重污染天气应急预案及减排清单修订、监测预警、应急处置、监督检查，应急基础设施建设、运行和维护以及应急技术支持等各项工作提供经费保障。</w:t>
            </w:r>
          </w:p>
          <w:p>
            <w:pPr>
              <w:adjustRightInd w:val="0"/>
              <w:snapToGrid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完成</w:t>
            </w:r>
            <w:r>
              <w:rPr>
                <w:rFonts w:hint="eastAsia" w:ascii="仿宋_GB2312" w:hAnsi="仿宋_GB2312" w:eastAsia="仿宋_GB2312" w:cs="仿宋_GB2312"/>
                <w:color w:val="auto"/>
                <w:sz w:val="24"/>
                <w:szCs w:val="24"/>
                <w:lang w:eastAsia="zh-CN"/>
              </w:rPr>
              <w:t>区</w:t>
            </w:r>
            <w:r>
              <w:rPr>
                <w:rFonts w:hint="eastAsia" w:ascii="仿宋_GB2312" w:hAnsi="仿宋_GB2312" w:eastAsia="仿宋_GB2312" w:cs="仿宋_GB2312"/>
                <w:color w:val="auto"/>
                <w:sz w:val="24"/>
                <w:szCs w:val="24"/>
              </w:rPr>
              <w:t>应急指挥部交办的其他事项。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766" w:type="dxa"/>
            <w:noWrap w:val="0"/>
            <w:tcMar>
              <w:top w:w="0" w:type="dxa"/>
              <w:left w:w="105" w:type="dxa"/>
              <w:bottom w:w="0" w:type="dxa"/>
              <w:right w:w="105" w:type="dxa"/>
            </w:tcMar>
            <w:vAlign w:val="center"/>
          </w:tcPr>
          <w:p>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p>
        </w:tc>
        <w:tc>
          <w:tcPr>
            <w:tcW w:w="1813" w:type="dxa"/>
            <w:noWrap w:val="0"/>
            <w:tcMar>
              <w:top w:w="0" w:type="dxa"/>
              <w:left w:w="105" w:type="dxa"/>
              <w:bottom w:w="0" w:type="dxa"/>
              <w:right w:w="105" w:type="dxa"/>
            </w:tcMar>
            <w:vAlign w:val="center"/>
          </w:tcPr>
          <w:p>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工信科技局</w:t>
            </w:r>
          </w:p>
        </w:tc>
        <w:tc>
          <w:tcPr>
            <w:tcW w:w="6475" w:type="dxa"/>
            <w:noWrap w:val="0"/>
            <w:tcMar>
              <w:top w:w="0" w:type="dxa"/>
              <w:left w:w="105" w:type="dxa"/>
              <w:bottom w:w="0" w:type="dxa"/>
              <w:right w:w="105" w:type="dxa"/>
            </w:tcMar>
            <w:vAlign w:val="center"/>
          </w:tcPr>
          <w:p>
            <w:pPr>
              <w:adjustRightInd w:val="0"/>
              <w:snapToGrid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编制本部门重污染天气应急响应专项实施方案。</w:t>
            </w:r>
          </w:p>
          <w:p>
            <w:pPr>
              <w:adjustRightInd w:val="0"/>
              <w:snapToGrid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会同生态环境</w:t>
            </w:r>
            <w:r>
              <w:rPr>
                <w:rFonts w:hint="eastAsia" w:ascii="仿宋_GB2312" w:hAnsi="仿宋_GB2312" w:eastAsia="仿宋_GB2312" w:cs="仿宋_GB2312"/>
                <w:color w:val="auto"/>
                <w:sz w:val="24"/>
                <w:szCs w:val="24"/>
                <w:lang w:eastAsia="zh-CN"/>
              </w:rPr>
              <w:t>分</w:t>
            </w:r>
            <w:r>
              <w:rPr>
                <w:rFonts w:hint="eastAsia" w:ascii="仿宋_GB2312" w:hAnsi="仿宋_GB2312" w:eastAsia="仿宋_GB2312" w:cs="仿宋_GB2312"/>
                <w:color w:val="auto"/>
                <w:sz w:val="24"/>
                <w:szCs w:val="24"/>
              </w:rPr>
              <w:t>局督促落实重点行业错峰生产工作。</w:t>
            </w:r>
          </w:p>
          <w:p>
            <w:pPr>
              <w:adjustRightInd w:val="0"/>
              <w:snapToGrid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配合生态环境</w:t>
            </w:r>
            <w:r>
              <w:rPr>
                <w:rFonts w:hint="eastAsia" w:ascii="仿宋_GB2312" w:hAnsi="仿宋_GB2312" w:eastAsia="仿宋_GB2312" w:cs="仿宋_GB2312"/>
                <w:color w:val="auto"/>
                <w:sz w:val="24"/>
                <w:szCs w:val="24"/>
                <w:lang w:eastAsia="zh-CN"/>
              </w:rPr>
              <w:t>分</w:t>
            </w:r>
            <w:r>
              <w:rPr>
                <w:rFonts w:hint="eastAsia" w:ascii="仿宋_GB2312" w:hAnsi="仿宋_GB2312" w:eastAsia="仿宋_GB2312" w:cs="仿宋_GB2312"/>
                <w:color w:val="auto"/>
                <w:sz w:val="24"/>
                <w:szCs w:val="24"/>
              </w:rPr>
              <w:t>局督促落实停产限产措施。</w:t>
            </w:r>
          </w:p>
          <w:p>
            <w:pPr>
              <w:adjustRightInd w:val="0"/>
              <w:snapToGrid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完成</w:t>
            </w:r>
            <w:r>
              <w:rPr>
                <w:rFonts w:hint="eastAsia" w:ascii="仿宋_GB2312" w:hAnsi="仿宋_GB2312" w:eastAsia="仿宋_GB2312" w:cs="仿宋_GB2312"/>
                <w:color w:val="auto"/>
                <w:sz w:val="24"/>
                <w:szCs w:val="24"/>
                <w:lang w:eastAsia="zh-CN"/>
              </w:rPr>
              <w:t>区</w:t>
            </w:r>
            <w:r>
              <w:rPr>
                <w:rFonts w:hint="eastAsia" w:ascii="仿宋_GB2312" w:hAnsi="仿宋_GB2312" w:eastAsia="仿宋_GB2312" w:cs="仿宋_GB2312"/>
                <w:color w:val="auto"/>
                <w:sz w:val="24"/>
                <w:szCs w:val="24"/>
              </w:rPr>
              <w:t>应急指挥部交办的其他事项。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766" w:type="dxa"/>
            <w:noWrap w:val="0"/>
            <w:tcMar>
              <w:top w:w="0" w:type="dxa"/>
              <w:left w:w="105" w:type="dxa"/>
              <w:bottom w:w="0" w:type="dxa"/>
              <w:right w:w="105" w:type="dxa"/>
            </w:tcMar>
            <w:vAlign w:val="center"/>
          </w:tcPr>
          <w:p>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p>
        </w:tc>
        <w:tc>
          <w:tcPr>
            <w:tcW w:w="1813" w:type="dxa"/>
            <w:noWrap w:val="0"/>
            <w:tcMar>
              <w:top w:w="0" w:type="dxa"/>
              <w:left w:w="105" w:type="dxa"/>
              <w:bottom w:w="0" w:type="dxa"/>
              <w:right w:w="105" w:type="dxa"/>
            </w:tcMar>
            <w:vAlign w:val="center"/>
          </w:tcPr>
          <w:p>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教</w:t>
            </w:r>
            <w:r>
              <w:rPr>
                <w:rFonts w:hint="eastAsia" w:ascii="仿宋_GB2312" w:hAnsi="仿宋_GB2312" w:eastAsia="仿宋_GB2312" w:cs="仿宋_GB2312"/>
                <w:color w:val="auto"/>
                <w:sz w:val="24"/>
                <w:szCs w:val="24"/>
                <w:lang w:val="en-US" w:eastAsia="zh-CN"/>
              </w:rPr>
              <w:t>体</w:t>
            </w:r>
            <w:r>
              <w:rPr>
                <w:rFonts w:hint="eastAsia" w:ascii="仿宋_GB2312" w:hAnsi="仿宋_GB2312" w:eastAsia="仿宋_GB2312" w:cs="仿宋_GB2312"/>
                <w:color w:val="auto"/>
                <w:sz w:val="24"/>
                <w:szCs w:val="24"/>
                <w:lang w:eastAsia="zh-CN"/>
              </w:rPr>
              <w:t>局</w:t>
            </w:r>
          </w:p>
        </w:tc>
        <w:tc>
          <w:tcPr>
            <w:tcW w:w="6475" w:type="dxa"/>
            <w:noWrap w:val="0"/>
            <w:tcMar>
              <w:top w:w="0" w:type="dxa"/>
              <w:left w:w="105" w:type="dxa"/>
              <w:bottom w:w="0" w:type="dxa"/>
              <w:right w:w="105" w:type="dxa"/>
            </w:tcMar>
            <w:vAlign w:val="center"/>
          </w:tcPr>
          <w:p>
            <w:pPr>
              <w:adjustRightInd w:val="0"/>
              <w:snapToGrid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编制本部门重污染天气应急响应专项实施方案。</w:t>
            </w:r>
          </w:p>
          <w:p>
            <w:pPr>
              <w:adjustRightInd w:val="0"/>
              <w:snapToGrid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负责指导和督促各类教育机构做好健康防护工作。</w:t>
            </w:r>
          </w:p>
          <w:p>
            <w:pPr>
              <w:adjustRightInd w:val="0"/>
              <w:snapToGrid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完成</w:t>
            </w:r>
            <w:r>
              <w:rPr>
                <w:rFonts w:hint="eastAsia" w:ascii="仿宋_GB2312" w:hAnsi="仿宋_GB2312" w:eastAsia="仿宋_GB2312" w:cs="仿宋_GB2312"/>
                <w:color w:val="auto"/>
                <w:sz w:val="24"/>
                <w:szCs w:val="24"/>
                <w:lang w:eastAsia="zh-CN"/>
              </w:rPr>
              <w:t>区</w:t>
            </w:r>
            <w:r>
              <w:rPr>
                <w:rFonts w:hint="eastAsia" w:ascii="仿宋_GB2312" w:hAnsi="仿宋_GB2312" w:eastAsia="仿宋_GB2312" w:cs="仿宋_GB2312"/>
                <w:color w:val="auto"/>
                <w:sz w:val="24"/>
                <w:szCs w:val="24"/>
              </w:rPr>
              <w:t>应急指挥部交办的其他事项。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766" w:type="dxa"/>
            <w:noWrap w:val="0"/>
            <w:tcMar>
              <w:top w:w="0" w:type="dxa"/>
              <w:left w:w="105" w:type="dxa"/>
              <w:bottom w:w="0" w:type="dxa"/>
              <w:right w:w="105" w:type="dxa"/>
            </w:tcMar>
            <w:vAlign w:val="center"/>
          </w:tcPr>
          <w:p>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w:t>
            </w:r>
          </w:p>
        </w:tc>
        <w:tc>
          <w:tcPr>
            <w:tcW w:w="1813" w:type="dxa"/>
            <w:noWrap w:val="0"/>
            <w:tcMar>
              <w:top w:w="0" w:type="dxa"/>
              <w:left w:w="105" w:type="dxa"/>
              <w:bottom w:w="0" w:type="dxa"/>
              <w:right w:w="105" w:type="dxa"/>
            </w:tcMar>
            <w:vAlign w:val="center"/>
          </w:tcPr>
          <w:p>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公安分局</w:t>
            </w:r>
          </w:p>
        </w:tc>
        <w:tc>
          <w:tcPr>
            <w:tcW w:w="6475" w:type="dxa"/>
            <w:noWrap w:val="0"/>
            <w:tcMar>
              <w:top w:w="0" w:type="dxa"/>
              <w:left w:w="105" w:type="dxa"/>
              <w:bottom w:w="0" w:type="dxa"/>
              <w:right w:w="105" w:type="dxa"/>
            </w:tcMar>
            <w:vAlign w:val="center"/>
          </w:tcPr>
          <w:p>
            <w:pPr>
              <w:adjustRightInd w:val="0"/>
              <w:snapToGrid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编制本部门重污染天气应急响应专项实施方案。</w:t>
            </w:r>
          </w:p>
          <w:p>
            <w:pPr>
              <w:adjustRightInd w:val="0"/>
              <w:snapToGrid w:val="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负责督查机动车道路限行执行情况。</w:t>
            </w:r>
            <w:r>
              <w:rPr>
                <w:rFonts w:hint="eastAsia" w:ascii="仿宋_GB2312" w:hAnsi="仿宋_GB2312" w:eastAsia="仿宋_GB2312" w:cs="仿宋_GB2312"/>
                <w:color w:val="auto"/>
                <w:sz w:val="24"/>
                <w:szCs w:val="24"/>
                <w:lang w:eastAsia="zh-CN"/>
              </w:rPr>
              <w:t>加强机动车路查等</w:t>
            </w:r>
          </w:p>
          <w:p>
            <w:pPr>
              <w:adjustRightInd w:val="0"/>
              <w:snapToGrid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完成</w:t>
            </w:r>
            <w:r>
              <w:rPr>
                <w:rFonts w:hint="eastAsia" w:ascii="仿宋_GB2312" w:hAnsi="仿宋_GB2312" w:eastAsia="仿宋_GB2312" w:cs="仿宋_GB2312"/>
                <w:color w:val="auto"/>
                <w:sz w:val="24"/>
                <w:szCs w:val="24"/>
                <w:lang w:eastAsia="zh-CN"/>
              </w:rPr>
              <w:t>区</w:t>
            </w:r>
            <w:r>
              <w:rPr>
                <w:rFonts w:hint="eastAsia" w:ascii="仿宋_GB2312" w:hAnsi="仿宋_GB2312" w:eastAsia="仿宋_GB2312" w:cs="仿宋_GB2312"/>
                <w:color w:val="auto"/>
                <w:sz w:val="24"/>
                <w:szCs w:val="24"/>
              </w:rPr>
              <w:t>应急指挥部交办的其他事项。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766" w:type="dxa"/>
            <w:noWrap w:val="0"/>
            <w:tcMar>
              <w:top w:w="0" w:type="dxa"/>
              <w:left w:w="105" w:type="dxa"/>
              <w:bottom w:w="0" w:type="dxa"/>
              <w:right w:w="105" w:type="dxa"/>
            </w:tcMar>
            <w:vAlign w:val="center"/>
          </w:tcPr>
          <w:p>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w:t>
            </w:r>
          </w:p>
        </w:tc>
        <w:tc>
          <w:tcPr>
            <w:tcW w:w="1813" w:type="dxa"/>
            <w:noWrap w:val="0"/>
            <w:tcMar>
              <w:top w:w="0" w:type="dxa"/>
              <w:left w:w="105" w:type="dxa"/>
              <w:bottom w:w="0" w:type="dxa"/>
              <w:right w:w="105" w:type="dxa"/>
            </w:tcMar>
            <w:vAlign w:val="center"/>
          </w:tcPr>
          <w:p>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建设交通局</w:t>
            </w:r>
          </w:p>
        </w:tc>
        <w:tc>
          <w:tcPr>
            <w:tcW w:w="6475" w:type="dxa"/>
            <w:noWrap w:val="0"/>
            <w:tcMar>
              <w:top w:w="0" w:type="dxa"/>
              <w:left w:w="105" w:type="dxa"/>
              <w:bottom w:w="0" w:type="dxa"/>
              <w:right w:w="105" w:type="dxa"/>
            </w:tcMar>
            <w:vAlign w:val="center"/>
          </w:tcPr>
          <w:p>
            <w:pPr>
              <w:adjustRightInd w:val="0"/>
              <w:snapToGrid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编制本部门重污染天气应急响应专项实施方案。</w:t>
            </w:r>
          </w:p>
          <w:p>
            <w:pPr>
              <w:adjustRightInd w:val="0"/>
              <w:snapToGrid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负责指导和监督落实房屋市政工程施工工地（含</w:t>
            </w:r>
            <w:r>
              <w:rPr>
                <w:rFonts w:hint="eastAsia" w:ascii="仿宋_GB2312" w:hAnsi="仿宋_GB2312" w:eastAsia="仿宋_GB2312" w:cs="仿宋_GB2312"/>
                <w:color w:val="auto"/>
                <w:sz w:val="24"/>
                <w:szCs w:val="24"/>
                <w:lang w:eastAsia="zh-CN"/>
              </w:rPr>
              <w:t>国有土地</w:t>
            </w:r>
            <w:r>
              <w:rPr>
                <w:rFonts w:hint="eastAsia" w:ascii="仿宋_GB2312" w:hAnsi="仿宋_GB2312" w:eastAsia="仿宋_GB2312" w:cs="仿宋_GB2312"/>
                <w:color w:val="auto"/>
                <w:sz w:val="24"/>
                <w:szCs w:val="24"/>
              </w:rPr>
              <w:t>拆迁）等扬尘污染防治措施</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负责指导和督促加大公共交通保障力度。</w:t>
            </w:r>
          </w:p>
          <w:p>
            <w:pPr>
              <w:adjustRightInd w:val="0"/>
              <w:snapToGrid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完成</w:t>
            </w:r>
            <w:r>
              <w:rPr>
                <w:rFonts w:hint="eastAsia" w:ascii="仿宋_GB2312" w:hAnsi="仿宋_GB2312" w:eastAsia="仿宋_GB2312" w:cs="仿宋_GB2312"/>
                <w:color w:val="auto"/>
                <w:sz w:val="24"/>
                <w:szCs w:val="24"/>
                <w:lang w:eastAsia="zh-CN"/>
              </w:rPr>
              <w:t>区</w:t>
            </w:r>
            <w:r>
              <w:rPr>
                <w:rFonts w:hint="eastAsia" w:ascii="仿宋_GB2312" w:hAnsi="仿宋_GB2312" w:eastAsia="仿宋_GB2312" w:cs="仿宋_GB2312"/>
                <w:color w:val="auto"/>
                <w:sz w:val="24"/>
                <w:szCs w:val="24"/>
              </w:rPr>
              <w:t>应急指挥部交办的其他事项。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766" w:type="dxa"/>
            <w:noWrap w:val="0"/>
            <w:tcMar>
              <w:top w:w="0" w:type="dxa"/>
              <w:left w:w="105" w:type="dxa"/>
              <w:bottom w:w="0" w:type="dxa"/>
              <w:right w:w="105" w:type="dxa"/>
            </w:tcMar>
            <w:vAlign w:val="center"/>
          </w:tcPr>
          <w:p>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w:t>
            </w:r>
          </w:p>
        </w:tc>
        <w:tc>
          <w:tcPr>
            <w:tcW w:w="1813" w:type="dxa"/>
            <w:noWrap w:val="0"/>
            <w:tcMar>
              <w:top w:w="0" w:type="dxa"/>
              <w:left w:w="105" w:type="dxa"/>
              <w:bottom w:w="0" w:type="dxa"/>
              <w:right w:w="105" w:type="dxa"/>
            </w:tcMar>
            <w:vAlign w:val="center"/>
          </w:tcPr>
          <w:p>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综合执法局</w:t>
            </w:r>
          </w:p>
        </w:tc>
        <w:tc>
          <w:tcPr>
            <w:tcW w:w="6475" w:type="dxa"/>
            <w:noWrap w:val="0"/>
            <w:tcMar>
              <w:top w:w="0" w:type="dxa"/>
              <w:left w:w="105" w:type="dxa"/>
              <w:bottom w:w="0" w:type="dxa"/>
              <w:right w:w="105" w:type="dxa"/>
            </w:tcMar>
            <w:vAlign w:val="center"/>
          </w:tcPr>
          <w:p>
            <w:pPr>
              <w:adjustRightInd w:val="0"/>
              <w:snapToGrid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负责指导落实道路保洁措施</w:t>
            </w:r>
            <w:r>
              <w:rPr>
                <w:rFonts w:hint="eastAsia" w:ascii="仿宋_GB2312" w:hAnsi="仿宋_GB2312" w:eastAsia="仿宋_GB2312" w:cs="仿宋_GB2312"/>
                <w:color w:val="auto"/>
                <w:sz w:val="24"/>
                <w:szCs w:val="24"/>
                <w:lang w:eastAsia="zh-CN"/>
              </w:rPr>
              <w:t>，指导各镇街开展渣土撒漏、露台烧烤等专项执法检查。</w:t>
            </w:r>
          </w:p>
          <w:p>
            <w:pPr>
              <w:adjustRightInd w:val="0"/>
              <w:snapToGrid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完成</w:t>
            </w:r>
            <w:r>
              <w:rPr>
                <w:rFonts w:hint="eastAsia" w:ascii="仿宋_GB2312" w:hAnsi="仿宋_GB2312" w:eastAsia="仿宋_GB2312" w:cs="仿宋_GB2312"/>
                <w:color w:val="auto"/>
                <w:sz w:val="24"/>
                <w:szCs w:val="24"/>
                <w:lang w:eastAsia="zh-CN"/>
              </w:rPr>
              <w:t>区</w:t>
            </w:r>
            <w:r>
              <w:rPr>
                <w:rFonts w:hint="eastAsia" w:ascii="仿宋_GB2312" w:hAnsi="仿宋_GB2312" w:eastAsia="仿宋_GB2312" w:cs="仿宋_GB2312"/>
                <w:color w:val="auto"/>
                <w:sz w:val="24"/>
                <w:szCs w:val="24"/>
              </w:rPr>
              <w:t>应急指挥部交办的其他事项。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766" w:type="dxa"/>
            <w:noWrap w:val="0"/>
            <w:tcMar>
              <w:top w:w="0" w:type="dxa"/>
              <w:left w:w="105" w:type="dxa"/>
              <w:bottom w:w="0" w:type="dxa"/>
              <w:right w:w="105" w:type="dxa"/>
            </w:tcMar>
            <w:vAlign w:val="center"/>
          </w:tcPr>
          <w:p>
            <w:pPr>
              <w:adjustRightInd w:val="0"/>
              <w:snapToGrid w:val="0"/>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9</w:t>
            </w:r>
          </w:p>
        </w:tc>
        <w:tc>
          <w:tcPr>
            <w:tcW w:w="1813" w:type="dxa"/>
            <w:noWrap w:val="0"/>
            <w:tcMar>
              <w:top w:w="0" w:type="dxa"/>
              <w:left w:w="105" w:type="dxa"/>
              <w:bottom w:w="0" w:type="dxa"/>
              <w:right w:w="105" w:type="dxa"/>
            </w:tcMar>
            <w:vAlign w:val="center"/>
          </w:tcPr>
          <w:p>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气象局</w:t>
            </w:r>
          </w:p>
        </w:tc>
        <w:tc>
          <w:tcPr>
            <w:tcW w:w="6475" w:type="dxa"/>
            <w:noWrap w:val="0"/>
            <w:tcMar>
              <w:top w:w="0" w:type="dxa"/>
              <w:left w:w="105" w:type="dxa"/>
              <w:bottom w:w="0" w:type="dxa"/>
              <w:right w:w="105" w:type="dxa"/>
            </w:tcMar>
            <w:vAlign w:val="center"/>
          </w:tcPr>
          <w:p>
            <w:pPr>
              <w:adjustRightInd w:val="0"/>
              <w:snapToGrid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编制本部门重污染天气应急响应专项实施方案。</w:t>
            </w:r>
          </w:p>
          <w:p>
            <w:pPr>
              <w:adjustRightInd w:val="0"/>
              <w:snapToGrid w:val="0"/>
              <w:rPr>
                <w:rStyle w:val="26"/>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负责供暖季全</w:t>
            </w:r>
            <w:r>
              <w:rPr>
                <w:rFonts w:hint="eastAsia" w:ascii="仿宋_GB2312" w:hAnsi="仿宋_GB2312" w:eastAsia="仿宋_GB2312" w:cs="仿宋_GB2312"/>
                <w:color w:val="auto"/>
                <w:sz w:val="24"/>
                <w:szCs w:val="24"/>
                <w:lang w:eastAsia="zh-CN"/>
              </w:rPr>
              <w:t>区</w:t>
            </w:r>
            <w:r>
              <w:rPr>
                <w:rFonts w:hint="eastAsia" w:ascii="仿宋_GB2312" w:hAnsi="仿宋_GB2312" w:eastAsia="仿宋_GB2312" w:cs="仿宋_GB2312"/>
                <w:color w:val="auto"/>
                <w:sz w:val="24"/>
                <w:szCs w:val="24"/>
              </w:rPr>
              <w:t>空气污染气象条件等级预报</w:t>
            </w:r>
            <w:r>
              <w:rPr>
                <w:rFonts w:hint="eastAsia" w:ascii="仿宋_GB2312" w:hAnsi="仿宋_GB2312" w:eastAsia="仿宋_GB2312" w:cs="仿宋_GB2312"/>
                <w:color w:val="auto"/>
                <w:sz w:val="24"/>
                <w:szCs w:val="24"/>
                <w:lang w:eastAsia="zh-CN"/>
              </w:rPr>
              <w:t>，协助生态环境分局</w:t>
            </w:r>
            <w:r>
              <w:rPr>
                <w:rFonts w:hint="eastAsia" w:ascii="仿宋_GB2312" w:hAnsi="仿宋_GB2312" w:eastAsia="仿宋_GB2312" w:cs="仿宋_GB2312"/>
                <w:color w:val="auto"/>
                <w:sz w:val="24"/>
                <w:szCs w:val="24"/>
              </w:rPr>
              <w:t>开展全</w:t>
            </w:r>
            <w:r>
              <w:rPr>
                <w:rFonts w:hint="eastAsia" w:ascii="仿宋_GB2312" w:hAnsi="仿宋_GB2312" w:eastAsia="仿宋_GB2312" w:cs="仿宋_GB2312"/>
                <w:color w:val="auto"/>
                <w:sz w:val="24"/>
                <w:szCs w:val="24"/>
                <w:lang w:eastAsia="zh-CN"/>
              </w:rPr>
              <w:t>区</w:t>
            </w:r>
            <w:r>
              <w:rPr>
                <w:rFonts w:hint="eastAsia" w:ascii="仿宋_GB2312" w:hAnsi="仿宋_GB2312" w:eastAsia="仿宋_GB2312" w:cs="仿宋_GB2312"/>
                <w:color w:val="auto"/>
                <w:sz w:val="24"/>
                <w:szCs w:val="24"/>
              </w:rPr>
              <w:t>空气质量预报会商和重污染天气监测工作。</w:t>
            </w:r>
          </w:p>
          <w:p>
            <w:pPr>
              <w:adjustRightInd w:val="0"/>
              <w:snapToGrid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完成</w:t>
            </w:r>
            <w:r>
              <w:rPr>
                <w:rFonts w:hint="eastAsia" w:ascii="仿宋_GB2312" w:hAnsi="仿宋_GB2312" w:eastAsia="仿宋_GB2312" w:cs="仿宋_GB2312"/>
                <w:color w:val="auto"/>
                <w:sz w:val="24"/>
                <w:szCs w:val="24"/>
                <w:lang w:eastAsia="zh-CN"/>
              </w:rPr>
              <w:t>区</w:t>
            </w:r>
            <w:r>
              <w:rPr>
                <w:rFonts w:hint="eastAsia" w:ascii="仿宋_GB2312" w:hAnsi="仿宋_GB2312" w:eastAsia="仿宋_GB2312" w:cs="仿宋_GB2312"/>
                <w:color w:val="auto"/>
                <w:sz w:val="24"/>
                <w:szCs w:val="24"/>
              </w:rPr>
              <w:t>应急指挥部交办的其他事项。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766" w:type="dxa"/>
            <w:noWrap w:val="0"/>
            <w:tcMar>
              <w:top w:w="0" w:type="dxa"/>
              <w:left w:w="105" w:type="dxa"/>
              <w:bottom w:w="0" w:type="dxa"/>
              <w:right w:w="105" w:type="dxa"/>
            </w:tcMar>
            <w:vAlign w:val="center"/>
          </w:tcPr>
          <w:p>
            <w:pPr>
              <w:adjustRightInd w:val="0"/>
              <w:snapToGrid w:val="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w:t>
            </w:r>
          </w:p>
        </w:tc>
        <w:tc>
          <w:tcPr>
            <w:tcW w:w="1813" w:type="dxa"/>
            <w:noWrap w:val="0"/>
            <w:tcMar>
              <w:top w:w="0" w:type="dxa"/>
              <w:left w:w="105" w:type="dxa"/>
              <w:bottom w:w="0" w:type="dxa"/>
              <w:right w:w="105" w:type="dxa"/>
            </w:tcMar>
            <w:vAlign w:val="center"/>
          </w:tcPr>
          <w:p>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供电公司</w:t>
            </w:r>
          </w:p>
        </w:tc>
        <w:tc>
          <w:tcPr>
            <w:tcW w:w="6475" w:type="dxa"/>
            <w:noWrap w:val="0"/>
            <w:tcMar>
              <w:top w:w="0" w:type="dxa"/>
              <w:left w:w="105" w:type="dxa"/>
              <w:bottom w:w="0" w:type="dxa"/>
              <w:right w:w="105" w:type="dxa"/>
            </w:tcMar>
            <w:vAlign w:val="center"/>
          </w:tcPr>
          <w:p>
            <w:pPr>
              <w:adjustRightInd w:val="0"/>
              <w:snapToGrid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负责落实重污染天气应急响应，按照市应急指挥部或应急管理部门关于对企业的书面停电决定，依法依规对企业采取停电措施。</w:t>
            </w:r>
          </w:p>
          <w:p>
            <w:pPr>
              <w:adjustRightInd w:val="0"/>
              <w:snapToGrid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完成</w:t>
            </w:r>
            <w:r>
              <w:rPr>
                <w:rFonts w:hint="eastAsia" w:ascii="仿宋_GB2312" w:hAnsi="仿宋_GB2312" w:eastAsia="仿宋_GB2312" w:cs="仿宋_GB2312"/>
                <w:color w:val="auto"/>
                <w:sz w:val="24"/>
                <w:szCs w:val="24"/>
                <w:lang w:eastAsia="zh-CN"/>
              </w:rPr>
              <w:t>区</w:t>
            </w:r>
            <w:r>
              <w:rPr>
                <w:rFonts w:hint="eastAsia" w:ascii="仿宋_GB2312" w:hAnsi="仿宋_GB2312" w:eastAsia="仿宋_GB2312" w:cs="仿宋_GB2312"/>
                <w:color w:val="auto"/>
                <w:sz w:val="24"/>
                <w:szCs w:val="24"/>
              </w:rPr>
              <w:t>应急指挥部交办的其他事项。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766" w:type="dxa"/>
            <w:noWrap w:val="0"/>
            <w:tcMar>
              <w:top w:w="0" w:type="dxa"/>
              <w:left w:w="105" w:type="dxa"/>
              <w:bottom w:w="0" w:type="dxa"/>
              <w:right w:w="105" w:type="dxa"/>
            </w:tcMar>
            <w:vAlign w:val="center"/>
          </w:tcPr>
          <w:p>
            <w:pPr>
              <w:adjustRightInd w:val="0"/>
              <w:snapToGrid w:val="0"/>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11</w:t>
            </w:r>
          </w:p>
        </w:tc>
        <w:tc>
          <w:tcPr>
            <w:tcW w:w="1813" w:type="dxa"/>
            <w:noWrap w:val="0"/>
            <w:tcMar>
              <w:top w:w="0" w:type="dxa"/>
              <w:left w:w="105" w:type="dxa"/>
              <w:bottom w:w="0" w:type="dxa"/>
              <w:right w:w="105" w:type="dxa"/>
            </w:tcMar>
            <w:vAlign w:val="center"/>
          </w:tcPr>
          <w:p>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各街道办事处（镇政府）</w:t>
            </w:r>
          </w:p>
        </w:tc>
        <w:tc>
          <w:tcPr>
            <w:tcW w:w="6475" w:type="dxa"/>
            <w:noWrap w:val="0"/>
            <w:tcMar>
              <w:top w:w="0" w:type="dxa"/>
              <w:left w:w="105" w:type="dxa"/>
              <w:bottom w:w="0" w:type="dxa"/>
              <w:right w:w="105" w:type="dxa"/>
            </w:tcMar>
            <w:vAlign w:val="center"/>
          </w:tcPr>
          <w:p>
            <w:pPr>
              <w:adjustRightInd w:val="0"/>
              <w:snapToGrid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负责</w:t>
            </w:r>
            <w:r>
              <w:rPr>
                <w:rFonts w:hint="eastAsia" w:ascii="仿宋_GB2312" w:hAnsi="仿宋_GB2312" w:eastAsia="仿宋_GB2312" w:cs="仿宋_GB2312"/>
                <w:color w:val="auto"/>
                <w:sz w:val="24"/>
                <w:szCs w:val="24"/>
                <w:lang w:eastAsia="zh-CN"/>
              </w:rPr>
              <w:t>落实所辖范围内道路保洁措施及土方作业扬尘污染防治措施，协助各部门落实重污染天气应急管理工作，采取相应的应急响应措施，配合综合执法局开展渣土撒漏、露台烧烤等专项执法检查。</w:t>
            </w:r>
          </w:p>
          <w:p>
            <w:pPr>
              <w:adjustRightInd w:val="0"/>
              <w:snapToGrid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落实</w:t>
            </w:r>
            <w:r>
              <w:rPr>
                <w:rFonts w:hint="eastAsia" w:ascii="仿宋_GB2312" w:hAnsi="仿宋_GB2312" w:eastAsia="仿宋_GB2312" w:cs="仿宋_GB2312"/>
                <w:color w:val="auto"/>
                <w:sz w:val="24"/>
                <w:szCs w:val="24"/>
                <w:lang w:val="en-US" w:eastAsia="zh-CN"/>
              </w:rPr>
              <w:t>秸秆</w:t>
            </w:r>
            <w:r>
              <w:rPr>
                <w:rFonts w:hint="eastAsia" w:ascii="仿宋_GB2312" w:hAnsi="仿宋_GB2312" w:eastAsia="仿宋_GB2312" w:cs="仿宋_GB2312"/>
                <w:color w:val="auto"/>
                <w:sz w:val="24"/>
                <w:szCs w:val="24"/>
              </w:rPr>
              <w:t>禁烧责任，加强火点管控。</w:t>
            </w:r>
          </w:p>
          <w:p>
            <w:pPr>
              <w:adjustRightInd w:val="0"/>
              <w:snapToGrid w:val="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完成</w:t>
            </w:r>
            <w:r>
              <w:rPr>
                <w:rFonts w:hint="eastAsia" w:ascii="仿宋_GB2312" w:hAnsi="仿宋_GB2312" w:eastAsia="仿宋_GB2312" w:cs="仿宋_GB2312"/>
                <w:color w:val="auto"/>
                <w:sz w:val="24"/>
                <w:szCs w:val="24"/>
                <w:lang w:eastAsia="zh-CN"/>
              </w:rPr>
              <w:t>区</w:t>
            </w:r>
            <w:r>
              <w:rPr>
                <w:rFonts w:hint="eastAsia" w:ascii="仿宋_GB2312" w:hAnsi="仿宋_GB2312" w:eastAsia="仿宋_GB2312" w:cs="仿宋_GB2312"/>
                <w:color w:val="auto"/>
                <w:sz w:val="24"/>
                <w:szCs w:val="24"/>
              </w:rPr>
              <w:t>应急指挥部交办的其他事项。</w:t>
            </w:r>
          </w:p>
        </w:tc>
      </w:tr>
    </w:tbl>
    <w:p>
      <w:pPr>
        <w:tabs>
          <w:tab w:val="left" w:pos="960"/>
        </w:tabs>
        <w:adjustRightInd w:val="0"/>
        <w:snapToGrid w:val="0"/>
        <w:spacing w:line="560" w:lineRule="exact"/>
        <w:ind w:firstLine="632" w:firstLineChars="200"/>
        <w:rPr>
          <w:rFonts w:hint="eastAsia"/>
          <w:bCs/>
          <w:color w:val="auto"/>
        </w:rPr>
      </w:pPr>
    </w:p>
    <w:p>
      <w:pPr>
        <w:pStyle w:val="19"/>
        <w:keepNext w:val="0"/>
        <w:keepLines w:val="0"/>
        <w:pageBreakBefore w:val="0"/>
        <w:widowControl w:val="0"/>
        <w:kinsoku/>
        <w:wordWrap/>
        <w:overflowPunct/>
        <w:topLinePunct w:val="0"/>
        <w:autoSpaceDE/>
        <w:autoSpaceDN/>
        <w:bidi w:val="0"/>
        <w:adjustRightInd/>
        <w:snapToGrid/>
        <w:spacing w:after="0" w:line="900" w:lineRule="exact"/>
        <w:ind w:left="0" w:leftChars="0" w:firstLine="0" w:firstLineChars="0"/>
        <w:textAlignment w:val="auto"/>
        <w:outlineLvl w:val="9"/>
        <w:rPr>
          <w:rFonts w:hint="eastAsia" w:ascii="仿宋_GB2312" w:hAnsi="仿宋_GB2312" w:eastAsia="仿宋_GB2312" w:cs="仿宋_GB2312"/>
          <w:spacing w:val="0"/>
          <w:sz w:val="32"/>
          <w:szCs w:val="32"/>
          <w:lang w:val="en-US" w:eastAsia="zh-CN"/>
        </w:rPr>
      </w:pPr>
    </w:p>
    <w:p>
      <w:pPr>
        <w:pStyle w:val="19"/>
        <w:keepNext w:val="0"/>
        <w:keepLines w:val="0"/>
        <w:pageBreakBefore w:val="0"/>
        <w:widowControl w:val="0"/>
        <w:kinsoku/>
        <w:wordWrap/>
        <w:overflowPunct/>
        <w:topLinePunct w:val="0"/>
        <w:autoSpaceDE/>
        <w:autoSpaceDN/>
        <w:bidi w:val="0"/>
        <w:adjustRightInd/>
        <w:snapToGrid/>
        <w:spacing w:after="0" w:line="740" w:lineRule="exact"/>
        <w:ind w:left="0" w:leftChars="0" w:firstLine="0" w:firstLineChars="0"/>
        <w:textAlignment w:val="auto"/>
        <w:outlineLvl w:val="9"/>
        <w:rPr>
          <w:rFonts w:hint="eastAsia" w:ascii="仿宋_GB2312" w:hAnsi="仿宋_GB2312" w:eastAsia="仿宋_GB2312" w:cs="仿宋_GB2312"/>
          <w:spacing w:val="0"/>
          <w:sz w:val="32"/>
          <w:szCs w:val="32"/>
          <w:lang w:val="en-US" w:eastAsia="zh-CN"/>
        </w:rPr>
      </w:pPr>
    </w:p>
    <w:p>
      <w:pPr>
        <w:pStyle w:val="19"/>
        <w:keepNext w:val="0"/>
        <w:keepLines w:val="0"/>
        <w:pageBreakBefore w:val="0"/>
        <w:widowControl w:val="0"/>
        <w:kinsoku/>
        <w:wordWrap/>
        <w:overflowPunct/>
        <w:topLinePunct w:val="0"/>
        <w:autoSpaceDE/>
        <w:autoSpaceDN/>
        <w:bidi w:val="0"/>
        <w:adjustRightInd/>
        <w:snapToGrid/>
        <w:spacing w:after="0" w:line="900" w:lineRule="exact"/>
        <w:ind w:left="0" w:leftChars="0" w:firstLine="0" w:firstLineChars="0"/>
        <w:textAlignment w:val="auto"/>
        <w:outlineLvl w:val="9"/>
        <w:rPr>
          <w:rFonts w:hint="eastAsia" w:ascii="仿宋_GB2312" w:hAnsi="仿宋_GB2312" w:eastAsia="仿宋_GB2312" w:cs="仿宋_GB2312"/>
          <w:spacing w:val="0"/>
          <w:sz w:val="32"/>
          <w:szCs w:val="32"/>
          <w:lang w:val="en-US" w:eastAsia="zh-CN"/>
        </w:rPr>
      </w:pPr>
    </w:p>
    <w:p>
      <w:pPr>
        <w:pStyle w:val="19"/>
        <w:keepNext w:val="0"/>
        <w:keepLines w:val="0"/>
        <w:pageBreakBefore w:val="0"/>
        <w:widowControl w:val="0"/>
        <w:kinsoku/>
        <w:wordWrap/>
        <w:overflowPunct/>
        <w:topLinePunct w:val="0"/>
        <w:autoSpaceDE/>
        <w:autoSpaceDN/>
        <w:bidi w:val="0"/>
        <w:adjustRightInd/>
        <w:snapToGrid/>
        <w:spacing w:after="0" w:line="900" w:lineRule="exact"/>
        <w:ind w:left="0" w:leftChars="0" w:firstLine="0" w:firstLineChars="0"/>
        <w:textAlignment w:val="auto"/>
        <w:outlineLvl w:val="9"/>
        <w:rPr>
          <w:rFonts w:hint="eastAsia" w:ascii="仿宋_GB2312" w:hAnsi="仿宋_GB2312" w:eastAsia="仿宋_GB2312" w:cs="仿宋_GB2312"/>
          <w:spacing w:val="0"/>
          <w:sz w:val="32"/>
          <w:szCs w:val="32"/>
          <w:lang w:val="en-US" w:eastAsia="zh-CN"/>
        </w:rPr>
      </w:pPr>
    </w:p>
    <w:p>
      <w:pPr>
        <w:pStyle w:val="19"/>
        <w:keepNext w:val="0"/>
        <w:keepLines w:val="0"/>
        <w:pageBreakBefore w:val="0"/>
        <w:widowControl w:val="0"/>
        <w:kinsoku/>
        <w:wordWrap/>
        <w:overflowPunct/>
        <w:topLinePunct w:val="0"/>
        <w:autoSpaceDE/>
        <w:autoSpaceDN/>
        <w:bidi w:val="0"/>
        <w:adjustRightInd/>
        <w:snapToGrid/>
        <w:spacing w:after="0" w:line="540" w:lineRule="exact"/>
        <w:ind w:left="0" w:leftChars="0" w:firstLine="0" w:firstLineChars="0"/>
        <w:textAlignment w:val="auto"/>
        <w:outlineLvl w:val="9"/>
        <w:rPr>
          <w:rFonts w:hint="eastAsia" w:ascii="仿宋_GB2312" w:hAnsi="仿宋_GB2312" w:eastAsia="仿宋_GB2312" w:cs="仿宋_GB2312"/>
          <w:spacing w:val="0"/>
          <w:sz w:val="32"/>
          <w:szCs w:val="32"/>
          <w:lang w:val="en-US" w:eastAsia="zh-CN"/>
        </w:rPr>
      </w:pPr>
    </w:p>
    <w:p>
      <w:pPr>
        <w:pStyle w:val="19"/>
        <w:keepNext w:val="0"/>
        <w:keepLines w:val="0"/>
        <w:pageBreakBefore w:val="0"/>
        <w:widowControl w:val="0"/>
        <w:kinsoku/>
        <w:wordWrap/>
        <w:overflowPunct/>
        <w:topLinePunct w:val="0"/>
        <w:autoSpaceDE/>
        <w:autoSpaceDN/>
        <w:bidi w:val="0"/>
        <w:adjustRightInd/>
        <w:snapToGrid/>
        <w:spacing w:after="0" w:line="540" w:lineRule="exact"/>
        <w:ind w:left="0" w:leftChars="0" w:firstLine="0" w:firstLineChars="0"/>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right="316" w:rightChars="100"/>
        <w:textAlignment w:val="auto"/>
        <w:rPr>
          <w:rFonts w:hint="eastAsia"/>
          <w:sz w:val="28"/>
          <w:szCs w:val="28"/>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40" w:lineRule="exact"/>
        <w:ind w:right="316" w:rightChars="100"/>
        <w:textAlignment w:val="auto"/>
        <w:rPr>
          <w:rFonts w:hint="eastAsia"/>
          <w:sz w:val="28"/>
          <w:szCs w:val="28"/>
        </w:rPr>
      </w:pPr>
    </w:p>
    <w:p>
      <w:pPr>
        <w:ind w:left="1144" w:leftChars="100" w:right="316" w:rightChars="100" w:hanging="828" w:hangingChars="300"/>
        <w:rPr>
          <w:rFonts w:hint="eastAsia" w:eastAsia="仿宋_GB2312"/>
          <w:sz w:val="28"/>
          <w:szCs w:val="28"/>
          <w:lang w:val="en-US" w:eastAsia="zh-CN"/>
        </w:rPr>
      </w:pPr>
      <w:r>
        <w:rPr>
          <w:rFonts w:hint="eastAsia"/>
          <w:sz w:val="28"/>
          <w:szCs w:val="28"/>
        </w:rPr>
        <w:t>信息公开选项：</w:t>
      </w:r>
      <w:r>
        <w:rPr>
          <w:rFonts w:hint="eastAsia"/>
          <w:sz w:val="28"/>
          <w:szCs w:val="28"/>
          <w:lang w:eastAsia="zh-CN"/>
        </w:rPr>
        <w:t>主动</w:t>
      </w:r>
      <w:bookmarkStart w:id="2" w:name="_GoBack"/>
      <w:bookmarkEnd w:id="2"/>
      <w:r>
        <w:rPr>
          <w:rFonts w:hint="eastAsia"/>
          <w:sz w:val="28"/>
          <w:szCs w:val="28"/>
          <w:lang w:eastAsia="zh-CN"/>
        </w:rPr>
        <w:t>公开</w:t>
      </w:r>
    </w:p>
    <w:p>
      <w:pPr>
        <w:ind w:left="1264" w:leftChars="100" w:right="316" w:rightChars="100" w:hanging="948" w:hangingChars="300"/>
        <w:rPr>
          <w:rFonts w:hint="eastAsia"/>
        </w:rPr>
      </w:pPr>
      <w:r>
        <w:rPr>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367665</wp:posOffset>
                </wp:positionV>
                <wp:extent cx="5615940" cy="0"/>
                <wp:effectExtent l="0" t="0" r="0" b="0"/>
                <wp:wrapNone/>
                <wp:docPr id="4" name="直线 2"/>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0pt;margin-top:28.95pt;height:0pt;width:442.2pt;z-index:251662336;mso-width-relative:page;mso-height-relative:page;" filled="f" stroked="t" coordsize="21600,21600" o:gfxdata="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XS4WrUAAAABgEAAA8AAAAAAAAAAQAgAAAAIgAA&#10;AGRycy9kb3ducmV2LnhtbFBLAQIUABQAAAAIAIdO4kCu5tP80wEAAJsDAAAOAAAAAAAAAAEAIAAA&#10;ACMBAABkcnMvZTJvRG9jLnhtbFBLBQYAAAAABgAGAFkBAABoBQAAAAA=&#10;">
                <v:fill on="f" focussize="0,0"/>
                <v:stroke color="#000000" joinstyle="round"/>
                <v:imagedata o:title=""/>
                <o:lock v:ext="edit" aspectratio="f"/>
              </v:line>
            </w:pict>
          </mc:Fallback>
        </mc:AlternateContent>
      </w:r>
      <w:r>
        <w:rPr>
          <w:rFonts w:ascii="仿宋_GB2312"/>
          <w:sz w:val="28"/>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615940" cy="0"/>
                <wp:effectExtent l="0" t="0" r="0" b="0"/>
                <wp:wrapNone/>
                <wp:docPr id="3" name="直线 3"/>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3" o:spid="_x0000_s1026" o:spt="20" style="position:absolute;left:0pt;margin-left:0pt;margin-top:0pt;height:0pt;width:442.2pt;z-index:251661312;mso-width-relative:page;mso-height-relative:page;" filled="f" stroked="t" coordsize="21600,21600" o:gfxdata="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YcM1m0gAAAAIBAAAPAAAAAAAAAAEAIAAAACIAAABk&#10;cnMvZG93bnJldi54bWxQSwECFAAUAAAACACHTuJAp9I/OdMBAACbAwAADgAAAAAAAAABACAAAAAh&#10;AQAAZHJzL2Uyb0RvYy54bWxQSwUGAAAAAAYABgBZAQAAZgUAAAAA&#10;">
                <v:fill on="f" focussize="0,0"/>
                <v:stroke color="#000000" joinstyle="round"/>
                <v:imagedata o:title=""/>
                <o:lock v:ext="edit" aspectratio="f"/>
              </v:line>
            </w:pict>
          </mc:Fallback>
        </mc:AlternateContent>
      </w:r>
      <w:r>
        <w:rPr>
          <w:rFonts w:hint="eastAsia" w:ascii="仿宋_GB2312"/>
          <w:sz w:val="28"/>
          <w:szCs w:val="32"/>
        </w:rPr>
        <w:t>烟台</w:t>
      </w:r>
      <w:r>
        <w:rPr>
          <w:rFonts w:hint="eastAsia" w:ascii="仿宋_GB2312"/>
          <w:sz w:val="28"/>
          <w:szCs w:val="32"/>
          <w:lang w:eastAsia="zh-CN"/>
        </w:rPr>
        <w:t>黄渤海新区</w:t>
      </w:r>
      <w:r>
        <w:rPr>
          <w:rFonts w:hint="eastAsia" w:ascii="仿宋_GB2312"/>
          <w:sz w:val="28"/>
          <w:szCs w:val="32"/>
        </w:rPr>
        <w:t>管委办公室</w:t>
      </w:r>
      <w:r>
        <w:rPr>
          <w:rFonts w:hint="eastAsia" w:ascii="仿宋_GB2312"/>
          <w:sz w:val="28"/>
          <w:szCs w:val="32"/>
          <w:lang w:eastAsia="zh-CN"/>
        </w:rPr>
        <w:t xml:space="preserve">              </w:t>
      </w:r>
      <w:r>
        <w:rPr>
          <w:rFonts w:hint="eastAsia" w:ascii="仿宋_GB2312"/>
          <w:sz w:val="28"/>
          <w:szCs w:val="32"/>
          <w:lang w:val="en-US" w:eastAsia="zh-CN"/>
        </w:rPr>
        <w:t xml:space="preserve"> </w:t>
      </w:r>
      <w:r>
        <w:rPr>
          <w:rFonts w:hint="eastAsia" w:ascii="仿宋_GB2312"/>
          <w:sz w:val="28"/>
          <w:szCs w:val="32"/>
        </w:rPr>
        <w:t xml:space="preserve"> 20</w:t>
      </w:r>
      <w:r>
        <w:rPr>
          <w:rFonts w:hint="eastAsia" w:ascii="仿宋_GB2312"/>
          <w:sz w:val="28"/>
          <w:szCs w:val="32"/>
          <w:lang w:val="en-US" w:eastAsia="zh-CN"/>
        </w:rPr>
        <w:t>24</w:t>
      </w:r>
      <w:r>
        <w:rPr>
          <w:rFonts w:hint="eastAsia" w:ascii="仿宋_GB2312"/>
          <w:sz w:val="28"/>
          <w:szCs w:val="32"/>
        </w:rPr>
        <w:t>年</w:t>
      </w:r>
      <w:r>
        <w:rPr>
          <w:rFonts w:hint="eastAsia" w:ascii="仿宋_GB2312"/>
          <w:sz w:val="28"/>
          <w:szCs w:val="32"/>
          <w:lang w:val="en-US" w:eastAsia="zh-CN"/>
        </w:rPr>
        <w:t>12</w:t>
      </w:r>
      <w:r>
        <w:rPr>
          <w:rFonts w:hint="eastAsia" w:ascii="仿宋_GB2312"/>
          <w:sz w:val="28"/>
          <w:szCs w:val="32"/>
        </w:rPr>
        <w:t>月</w:t>
      </w:r>
      <w:r>
        <w:rPr>
          <w:rFonts w:hint="eastAsia" w:ascii="仿宋_GB2312"/>
          <w:sz w:val="28"/>
          <w:szCs w:val="32"/>
          <w:lang w:val="en-US" w:eastAsia="zh-CN"/>
        </w:rPr>
        <w:t>17</w:t>
      </w:r>
      <w:r>
        <w:rPr>
          <w:rFonts w:hint="eastAsia" w:ascii="仿宋_GB2312"/>
          <w:sz w:val="28"/>
          <w:szCs w:val="32"/>
        </w:rPr>
        <w:t>日印发</w:t>
      </w:r>
    </w:p>
    <w:sectPr>
      <w:headerReference r:id="rId3" w:type="default"/>
      <w:footerReference r:id="rId4" w:type="default"/>
      <w:pgSz w:w="11906" w:h="16838"/>
      <w:pgMar w:top="2098" w:right="1531" w:bottom="1984" w:left="1531" w:header="851" w:footer="1587" w:gutter="0"/>
      <w:paperSrc/>
      <w:pgNumType w:fmt="decimal"/>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小标宋">
    <w:altName w:val="方正粗宋简体"/>
    <w:panose1 w:val="03000509000000000000"/>
    <w:charset w:val="86"/>
    <w:family w:val="script"/>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方正粗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13</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KyQwk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yskMJEwIAABUEAAAOAAAAAAAAAAEA&#10;IAAAAB8BAABkcnMvZTJvRG9jLnhtbFBLBQYAAAAABgAGAFkBAACkBQAAAAA=&#10;">
              <v:fill on="f" focussize="0,0"/>
              <v:stroke on="f" weight="0.5pt"/>
              <v:imagedata o:title=""/>
              <o:lock v:ext="edit" aspectratio="f"/>
              <v:textbox inset="0mm,0mm,0mm,0mm" style="mso-fit-shape-to-text:t;">
                <w:txbxContent>
                  <w:p>
                    <w:pPr>
                      <w:pStyle w:val="1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13</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yZTNjOGMyNjdiNGU0YzQ3MWVkNzRhMDQwM2FkZGIifQ=="/>
  </w:docVars>
  <w:rsids>
    <w:rsidRoot w:val="008B7786"/>
    <w:rsid w:val="00010AB1"/>
    <w:rsid w:val="000169A0"/>
    <w:rsid w:val="00017BA8"/>
    <w:rsid w:val="00024431"/>
    <w:rsid w:val="00030D79"/>
    <w:rsid w:val="00041477"/>
    <w:rsid w:val="00052FC9"/>
    <w:rsid w:val="0005500E"/>
    <w:rsid w:val="00070182"/>
    <w:rsid w:val="00072C02"/>
    <w:rsid w:val="00073727"/>
    <w:rsid w:val="00075437"/>
    <w:rsid w:val="000811F5"/>
    <w:rsid w:val="00085488"/>
    <w:rsid w:val="00095A31"/>
    <w:rsid w:val="000A08EB"/>
    <w:rsid w:val="000B4430"/>
    <w:rsid w:val="000C44EC"/>
    <w:rsid w:val="000C4D3D"/>
    <w:rsid w:val="000C4DFA"/>
    <w:rsid w:val="000C6CA4"/>
    <w:rsid w:val="000D3170"/>
    <w:rsid w:val="000D36BF"/>
    <w:rsid w:val="000D46E3"/>
    <w:rsid w:val="000E5B6E"/>
    <w:rsid w:val="000F6F43"/>
    <w:rsid w:val="00103867"/>
    <w:rsid w:val="0010449D"/>
    <w:rsid w:val="00106E10"/>
    <w:rsid w:val="00106FB6"/>
    <w:rsid w:val="00114A7F"/>
    <w:rsid w:val="00123674"/>
    <w:rsid w:val="001273DA"/>
    <w:rsid w:val="0013251A"/>
    <w:rsid w:val="00136529"/>
    <w:rsid w:val="00136D2A"/>
    <w:rsid w:val="001379FE"/>
    <w:rsid w:val="00142BA2"/>
    <w:rsid w:val="00153210"/>
    <w:rsid w:val="00170808"/>
    <w:rsid w:val="00174E43"/>
    <w:rsid w:val="001772F3"/>
    <w:rsid w:val="00187E43"/>
    <w:rsid w:val="0019204B"/>
    <w:rsid w:val="0019493D"/>
    <w:rsid w:val="001A4E62"/>
    <w:rsid w:val="001B7051"/>
    <w:rsid w:val="001C08C6"/>
    <w:rsid w:val="001C0AF5"/>
    <w:rsid w:val="001C35EB"/>
    <w:rsid w:val="001C4E27"/>
    <w:rsid w:val="001C6AA0"/>
    <w:rsid w:val="001E042E"/>
    <w:rsid w:val="001E289F"/>
    <w:rsid w:val="001E313A"/>
    <w:rsid w:val="001F1E57"/>
    <w:rsid w:val="002027E8"/>
    <w:rsid w:val="00204DF0"/>
    <w:rsid w:val="0020568D"/>
    <w:rsid w:val="002078AE"/>
    <w:rsid w:val="002102BB"/>
    <w:rsid w:val="0021113E"/>
    <w:rsid w:val="00213774"/>
    <w:rsid w:val="002139BC"/>
    <w:rsid w:val="002154A4"/>
    <w:rsid w:val="00220D44"/>
    <w:rsid w:val="0022257C"/>
    <w:rsid w:val="00232109"/>
    <w:rsid w:val="0025135F"/>
    <w:rsid w:val="002532EB"/>
    <w:rsid w:val="002559BC"/>
    <w:rsid w:val="002744D9"/>
    <w:rsid w:val="00274E44"/>
    <w:rsid w:val="00297E0D"/>
    <w:rsid w:val="002C2E9B"/>
    <w:rsid w:val="002C4A49"/>
    <w:rsid w:val="002D3A60"/>
    <w:rsid w:val="002D41FD"/>
    <w:rsid w:val="002F2ABD"/>
    <w:rsid w:val="002F5A5A"/>
    <w:rsid w:val="00307089"/>
    <w:rsid w:val="003137BD"/>
    <w:rsid w:val="00316A2E"/>
    <w:rsid w:val="00331399"/>
    <w:rsid w:val="00332127"/>
    <w:rsid w:val="003326E7"/>
    <w:rsid w:val="0034465A"/>
    <w:rsid w:val="00345B67"/>
    <w:rsid w:val="00345D7F"/>
    <w:rsid w:val="00351272"/>
    <w:rsid w:val="0036046B"/>
    <w:rsid w:val="00373ABD"/>
    <w:rsid w:val="003808C2"/>
    <w:rsid w:val="00381F0F"/>
    <w:rsid w:val="00384626"/>
    <w:rsid w:val="0038633B"/>
    <w:rsid w:val="003951D9"/>
    <w:rsid w:val="003960D7"/>
    <w:rsid w:val="0039710E"/>
    <w:rsid w:val="0039717A"/>
    <w:rsid w:val="003A1118"/>
    <w:rsid w:val="003A2189"/>
    <w:rsid w:val="003A28B2"/>
    <w:rsid w:val="003A58ED"/>
    <w:rsid w:val="003B17CC"/>
    <w:rsid w:val="003C0E2D"/>
    <w:rsid w:val="003C256C"/>
    <w:rsid w:val="003C485B"/>
    <w:rsid w:val="003C6916"/>
    <w:rsid w:val="003D6247"/>
    <w:rsid w:val="003E47A1"/>
    <w:rsid w:val="003E5E3B"/>
    <w:rsid w:val="003F60C3"/>
    <w:rsid w:val="00401B74"/>
    <w:rsid w:val="00403BC0"/>
    <w:rsid w:val="00411B8B"/>
    <w:rsid w:val="00413902"/>
    <w:rsid w:val="00413A06"/>
    <w:rsid w:val="0041564B"/>
    <w:rsid w:val="00415B86"/>
    <w:rsid w:val="00415D94"/>
    <w:rsid w:val="00420925"/>
    <w:rsid w:val="004316F2"/>
    <w:rsid w:val="004436FB"/>
    <w:rsid w:val="00443715"/>
    <w:rsid w:val="0045066E"/>
    <w:rsid w:val="00460B25"/>
    <w:rsid w:val="00476A55"/>
    <w:rsid w:val="00480C7B"/>
    <w:rsid w:val="00481B9B"/>
    <w:rsid w:val="004852C3"/>
    <w:rsid w:val="0048606C"/>
    <w:rsid w:val="0049061E"/>
    <w:rsid w:val="004943B0"/>
    <w:rsid w:val="004952BA"/>
    <w:rsid w:val="004A0018"/>
    <w:rsid w:val="004A2F80"/>
    <w:rsid w:val="004A6760"/>
    <w:rsid w:val="004B3D70"/>
    <w:rsid w:val="004B4374"/>
    <w:rsid w:val="004C2140"/>
    <w:rsid w:val="004C2436"/>
    <w:rsid w:val="004C309E"/>
    <w:rsid w:val="004D0BAD"/>
    <w:rsid w:val="004D6A2F"/>
    <w:rsid w:val="004D6B0C"/>
    <w:rsid w:val="004D79D4"/>
    <w:rsid w:val="004E0B5F"/>
    <w:rsid w:val="004E6879"/>
    <w:rsid w:val="004F0E32"/>
    <w:rsid w:val="004F1FFA"/>
    <w:rsid w:val="004F30E4"/>
    <w:rsid w:val="004F5424"/>
    <w:rsid w:val="00501877"/>
    <w:rsid w:val="00504B76"/>
    <w:rsid w:val="005051DF"/>
    <w:rsid w:val="0053130B"/>
    <w:rsid w:val="00534A37"/>
    <w:rsid w:val="0054409C"/>
    <w:rsid w:val="005441FB"/>
    <w:rsid w:val="005461D0"/>
    <w:rsid w:val="00547AE3"/>
    <w:rsid w:val="00555A2F"/>
    <w:rsid w:val="00561BEB"/>
    <w:rsid w:val="00567706"/>
    <w:rsid w:val="005716E0"/>
    <w:rsid w:val="00571888"/>
    <w:rsid w:val="0057581F"/>
    <w:rsid w:val="00580894"/>
    <w:rsid w:val="0058263C"/>
    <w:rsid w:val="00582F6F"/>
    <w:rsid w:val="005858AF"/>
    <w:rsid w:val="005A40CA"/>
    <w:rsid w:val="005B0EF3"/>
    <w:rsid w:val="005E104C"/>
    <w:rsid w:val="005E3D12"/>
    <w:rsid w:val="005E61B4"/>
    <w:rsid w:val="005F14ED"/>
    <w:rsid w:val="005F4349"/>
    <w:rsid w:val="005F53B2"/>
    <w:rsid w:val="006132DB"/>
    <w:rsid w:val="00615B78"/>
    <w:rsid w:val="00617996"/>
    <w:rsid w:val="0062047B"/>
    <w:rsid w:val="00621CFF"/>
    <w:rsid w:val="006264BB"/>
    <w:rsid w:val="00631830"/>
    <w:rsid w:val="0065763F"/>
    <w:rsid w:val="0067018E"/>
    <w:rsid w:val="00671D61"/>
    <w:rsid w:val="006915B8"/>
    <w:rsid w:val="006956FD"/>
    <w:rsid w:val="006A1FE8"/>
    <w:rsid w:val="006A519B"/>
    <w:rsid w:val="006B0E87"/>
    <w:rsid w:val="006B3D0E"/>
    <w:rsid w:val="006B51AB"/>
    <w:rsid w:val="006C0FFB"/>
    <w:rsid w:val="006C269A"/>
    <w:rsid w:val="006C7932"/>
    <w:rsid w:val="006E1C85"/>
    <w:rsid w:val="006E325F"/>
    <w:rsid w:val="00700B88"/>
    <w:rsid w:val="0070445B"/>
    <w:rsid w:val="00710DAC"/>
    <w:rsid w:val="007116F1"/>
    <w:rsid w:val="00720828"/>
    <w:rsid w:val="00741A6F"/>
    <w:rsid w:val="00746429"/>
    <w:rsid w:val="007475FA"/>
    <w:rsid w:val="00753137"/>
    <w:rsid w:val="00762713"/>
    <w:rsid w:val="007635BF"/>
    <w:rsid w:val="00767F27"/>
    <w:rsid w:val="00787BF4"/>
    <w:rsid w:val="00787E06"/>
    <w:rsid w:val="0079442F"/>
    <w:rsid w:val="00794C35"/>
    <w:rsid w:val="007A0FEC"/>
    <w:rsid w:val="007B0FC3"/>
    <w:rsid w:val="007B13DE"/>
    <w:rsid w:val="007B7ABF"/>
    <w:rsid w:val="007D1061"/>
    <w:rsid w:val="007D3F89"/>
    <w:rsid w:val="007D599D"/>
    <w:rsid w:val="007E1492"/>
    <w:rsid w:val="007E2E9E"/>
    <w:rsid w:val="007E3B76"/>
    <w:rsid w:val="007F4050"/>
    <w:rsid w:val="007F4628"/>
    <w:rsid w:val="0080712B"/>
    <w:rsid w:val="00831B76"/>
    <w:rsid w:val="00832567"/>
    <w:rsid w:val="0083683F"/>
    <w:rsid w:val="00845E05"/>
    <w:rsid w:val="00865168"/>
    <w:rsid w:val="008676E9"/>
    <w:rsid w:val="00874C4B"/>
    <w:rsid w:val="00875BF3"/>
    <w:rsid w:val="00877893"/>
    <w:rsid w:val="008B644A"/>
    <w:rsid w:val="008B6E86"/>
    <w:rsid w:val="008B7786"/>
    <w:rsid w:val="008C3638"/>
    <w:rsid w:val="008D284E"/>
    <w:rsid w:val="008D3851"/>
    <w:rsid w:val="008E0A35"/>
    <w:rsid w:val="008E5A99"/>
    <w:rsid w:val="008F0552"/>
    <w:rsid w:val="008F5124"/>
    <w:rsid w:val="00927428"/>
    <w:rsid w:val="00934645"/>
    <w:rsid w:val="0094799A"/>
    <w:rsid w:val="00950D8D"/>
    <w:rsid w:val="0095274F"/>
    <w:rsid w:val="00956F60"/>
    <w:rsid w:val="00961042"/>
    <w:rsid w:val="00963536"/>
    <w:rsid w:val="00967298"/>
    <w:rsid w:val="00973598"/>
    <w:rsid w:val="00984CEB"/>
    <w:rsid w:val="009903F2"/>
    <w:rsid w:val="009A1319"/>
    <w:rsid w:val="009B4EA7"/>
    <w:rsid w:val="009B7562"/>
    <w:rsid w:val="009C0A70"/>
    <w:rsid w:val="009D314E"/>
    <w:rsid w:val="009E07ED"/>
    <w:rsid w:val="009E6675"/>
    <w:rsid w:val="009F7502"/>
    <w:rsid w:val="00A05AFF"/>
    <w:rsid w:val="00A10024"/>
    <w:rsid w:val="00A142A7"/>
    <w:rsid w:val="00A15BD1"/>
    <w:rsid w:val="00A15BF2"/>
    <w:rsid w:val="00A161A7"/>
    <w:rsid w:val="00A17631"/>
    <w:rsid w:val="00A3060C"/>
    <w:rsid w:val="00A3468F"/>
    <w:rsid w:val="00A52FB2"/>
    <w:rsid w:val="00A53161"/>
    <w:rsid w:val="00A53183"/>
    <w:rsid w:val="00A54EFF"/>
    <w:rsid w:val="00A57370"/>
    <w:rsid w:val="00A629AD"/>
    <w:rsid w:val="00A754B2"/>
    <w:rsid w:val="00A842BD"/>
    <w:rsid w:val="00A9627B"/>
    <w:rsid w:val="00A96288"/>
    <w:rsid w:val="00AA082A"/>
    <w:rsid w:val="00AA2E83"/>
    <w:rsid w:val="00AA3329"/>
    <w:rsid w:val="00AB3D14"/>
    <w:rsid w:val="00AC139D"/>
    <w:rsid w:val="00AC152F"/>
    <w:rsid w:val="00AC5275"/>
    <w:rsid w:val="00AD6D7D"/>
    <w:rsid w:val="00AE3ABF"/>
    <w:rsid w:val="00AF255F"/>
    <w:rsid w:val="00AF2D4D"/>
    <w:rsid w:val="00AF495D"/>
    <w:rsid w:val="00AF4FF6"/>
    <w:rsid w:val="00B0382D"/>
    <w:rsid w:val="00B07615"/>
    <w:rsid w:val="00B10F91"/>
    <w:rsid w:val="00B15D6D"/>
    <w:rsid w:val="00B21E61"/>
    <w:rsid w:val="00B35046"/>
    <w:rsid w:val="00B36003"/>
    <w:rsid w:val="00B4030C"/>
    <w:rsid w:val="00B50934"/>
    <w:rsid w:val="00B63C5C"/>
    <w:rsid w:val="00B81943"/>
    <w:rsid w:val="00B861FD"/>
    <w:rsid w:val="00B97261"/>
    <w:rsid w:val="00BA2045"/>
    <w:rsid w:val="00BA363A"/>
    <w:rsid w:val="00BD0FF3"/>
    <w:rsid w:val="00BD3E9E"/>
    <w:rsid w:val="00BE3996"/>
    <w:rsid w:val="00BE6989"/>
    <w:rsid w:val="00BE6C2E"/>
    <w:rsid w:val="00BF299E"/>
    <w:rsid w:val="00BF3A59"/>
    <w:rsid w:val="00BF5D8D"/>
    <w:rsid w:val="00C049F5"/>
    <w:rsid w:val="00C1109F"/>
    <w:rsid w:val="00C12F1A"/>
    <w:rsid w:val="00C13530"/>
    <w:rsid w:val="00C16A7A"/>
    <w:rsid w:val="00C32510"/>
    <w:rsid w:val="00C3256A"/>
    <w:rsid w:val="00C339AC"/>
    <w:rsid w:val="00C429C3"/>
    <w:rsid w:val="00C65593"/>
    <w:rsid w:val="00C67E92"/>
    <w:rsid w:val="00C70A72"/>
    <w:rsid w:val="00C7192A"/>
    <w:rsid w:val="00C74006"/>
    <w:rsid w:val="00C761D0"/>
    <w:rsid w:val="00C80F63"/>
    <w:rsid w:val="00C8267D"/>
    <w:rsid w:val="00C855D4"/>
    <w:rsid w:val="00C922A6"/>
    <w:rsid w:val="00C973ED"/>
    <w:rsid w:val="00CA2457"/>
    <w:rsid w:val="00CB746F"/>
    <w:rsid w:val="00CC1815"/>
    <w:rsid w:val="00CC3E62"/>
    <w:rsid w:val="00CC41D8"/>
    <w:rsid w:val="00CD0D31"/>
    <w:rsid w:val="00CD1DEB"/>
    <w:rsid w:val="00CD6877"/>
    <w:rsid w:val="00CE1F10"/>
    <w:rsid w:val="00CF74ED"/>
    <w:rsid w:val="00CF7663"/>
    <w:rsid w:val="00D02D4C"/>
    <w:rsid w:val="00D05B4D"/>
    <w:rsid w:val="00D1598E"/>
    <w:rsid w:val="00D16CB7"/>
    <w:rsid w:val="00D21106"/>
    <w:rsid w:val="00D24E37"/>
    <w:rsid w:val="00D33985"/>
    <w:rsid w:val="00D50F9A"/>
    <w:rsid w:val="00D5555F"/>
    <w:rsid w:val="00D56413"/>
    <w:rsid w:val="00D64F6B"/>
    <w:rsid w:val="00D73151"/>
    <w:rsid w:val="00D84AC3"/>
    <w:rsid w:val="00D8656E"/>
    <w:rsid w:val="00D90D2C"/>
    <w:rsid w:val="00D964FF"/>
    <w:rsid w:val="00DA1C83"/>
    <w:rsid w:val="00DB18EF"/>
    <w:rsid w:val="00DB26A4"/>
    <w:rsid w:val="00DB47B7"/>
    <w:rsid w:val="00DC52E5"/>
    <w:rsid w:val="00DC5E34"/>
    <w:rsid w:val="00DD5D6A"/>
    <w:rsid w:val="00DE33F3"/>
    <w:rsid w:val="00DE3E36"/>
    <w:rsid w:val="00DE6443"/>
    <w:rsid w:val="00DF7640"/>
    <w:rsid w:val="00E03E5E"/>
    <w:rsid w:val="00E04F49"/>
    <w:rsid w:val="00E24B91"/>
    <w:rsid w:val="00E25193"/>
    <w:rsid w:val="00E32CA7"/>
    <w:rsid w:val="00E3368A"/>
    <w:rsid w:val="00E36DFE"/>
    <w:rsid w:val="00E41ADF"/>
    <w:rsid w:val="00E4313B"/>
    <w:rsid w:val="00E47075"/>
    <w:rsid w:val="00E529DC"/>
    <w:rsid w:val="00E53A20"/>
    <w:rsid w:val="00E569A4"/>
    <w:rsid w:val="00E75947"/>
    <w:rsid w:val="00E83DBE"/>
    <w:rsid w:val="00E863EF"/>
    <w:rsid w:val="00E86D5A"/>
    <w:rsid w:val="00E87090"/>
    <w:rsid w:val="00E935AA"/>
    <w:rsid w:val="00E94FC0"/>
    <w:rsid w:val="00EA090B"/>
    <w:rsid w:val="00EB0534"/>
    <w:rsid w:val="00EB20B2"/>
    <w:rsid w:val="00EB2558"/>
    <w:rsid w:val="00EB43B8"/>
    <w:rsid w:val="00EB63EB"/>
    <w:rsid w:val="00EC77F5"/>
    <w:rsid w:val="00ED47AB"/>
    <w:rsid w:val="00EE460A"/>
    <w:rsid w:val="00EE5294"/>
    <w:rsid w:val="00EF1D54"/>
    <w:rsid w:val="00F02438"/>
    <w:rsid w:val="00F0342A"/>
    <w:rsid w:val="00F03B13"/>
    <w:rsid w:val="00F06661"/>
    <w:rsid w:val="00F22969"/>
    <w:rsid w:val="00F30282"/>
    <w:rsid w:val="00F30758"/>
    <w:rsid w:val="00F31BB3"/>
    <w:rsid w:val="00F40CAA"/>
    <w:rsid w:val="00F4346F"/>
    <w:rsid w:val="00F50BD8"/>
    <w:rsid w:val="00F56389"/>
    <w:rsid w:val="00F61301"/>
    <w:rsid w:val="00F613CE"/>
    <w:rsid w:val="00F66F37"/>
    <w:rsid w:val="00F671D3"/>
    <w:rsid w:val="00F8065C"/>
    <w:rsid w:val="00F81B5D"/>
    <w:rsid w:val="00F836B9"/>
    <w:rsid w:val="00F84A9F"/>
    <w:rsid w:val="00F96D61"/>
    <w:rsid w:val="00FA0316"/>
    <w:rsid w:val="00FA4971"/>
    <w:rsid w:val="00FB0B32"/>
    <w:rsid w:val="00FB3F33"/>
    <w:rsid w:val="00FB516E"/>
    <w:rsid w:val="00FC01DF"/>
    <w:rsid w:val="00FC0413"/>
    <w:rsid w:val="00FD2128"/>
    <w:rsid w:val="00FD4520"/>
    <w:rsid w:val="00FE6B72"/>
    <w:rsid w:val="00FE7101"/>
    <w:rsid w:val="00FF0236"/>
    <w:rsid w:val="00FF2607"/>
    <w:rsid w:val="02A0526D"/>
    <w:rsid w:val="02A122C9"/>
    <w:rsid w:val="02A96A9A"/>
    <w:rsid w:val="03504882"/>
    <w:rsid w:val="03820C6B"/>
    <w:rsid w:val="039E5B9E"/>
    <w:rsid w:val="04465885"/>
    <w:rsid w:val="044D14ED"/>
    <w:rsid w:val="044F35E5"/>
    <w:rsid w:val="04545C9A"/>
    <w:rsid w:val="04E45433"/>
    <w:rsid w:val="04EC08A4"/>
    <w:rsid w:val="05A37CCE"/>
    <w:rsid w:val="05AD141C"/>
    <w:rsid w:val="05EB4374"/>
    <w:rsid w:val="05EE60A3"/>
    <w:rsid w:val="063A426A"/>
    <w:rsid w:val="07435610"/>
    <w:rsid w:val="074763D2"/>
    <w:rsid w:val="07AD72C8"/>
    <w:rsid w:val="0984386B"/>
    <w:rsid w:val="09FB79E6"/>
    <w:rsid w:val="0A0658CC"/>
    <w:rsid w:val="0B1B3706"/>
    <w:rsid w:val="0B863106"/>
    <w:rsid w:val="0BF63EBB"/>
    <w:rsid w:val="0D5C01C7"/>
    <w:rsid w:val="0D62191D"/>
    <w:rsid w:val="0D91219D"/>
    <w:rsid w:val="0EE017DD"/>
    <w:rsid w:val="0F0E218B"/>
    <w:rsid w:val="0F724AB1"/>
    <w:rsid w:val="0F8E47D8"/>
    <w:rsid w:val="101B3A7B"/>
    <w:rsid w:val="108D5674"/>
    <w:rsid w:val="11893214"/>
    <w:rsid w:val="118C7D35"/>
    <w:rsid w:val="11DB0B2F"/>
    <w:rsid w:val="11E4027B"/>
    <w:rsid w:val="12284C6D"/>
    <w:rsid w:val="1276159A"/>
    <w:rsid w:val="12E43EE8"/>
    <w:rsid w:val="137C0539"/>
    <w:rsid w:val="13E44557"/>
    <w:rsid w:val="14374F1D"/>
    <w:rsid w:val="144E5218"/>
    <w:rsid w:val="149A3F01"/>
    <w:rsid w:val="14A81C23"/>
    <w:rsid w:val="153F786F"/>
    <w:rsid w:val="16350294"/>
    <w:rsid w:val="16351F72"/>
    <w:rsid w:val="1664767B"/>
    <w:rsid w:val="16B6035B"/>
    <w:rsid w:val="16F14FF5"/>
    <w:rsid w:val="16F37B36"/>
    <w:rsid w:val="175406D5"/>
    <w:rsid w:val="185D1942"/>
    <w:rsid w:val="186236C1"/>
    <w:rsid w:val="18B61352"/>
    <w:rsid w:val="18F94A09"/>
    <w:rsid w:val="19120980"/>
    <w:rsid w:val="19C749A6"/>
    <w:rsid w:val="19EF322F"/>
    <w:rsid w:val="19F67A29"/>
    <w:rsid w:val="1A063E6A"/>
    <w:rsid w:val="1B5A3B90"/>
    <w:rsid w:val="1BD52DA4"/>
    <w:rsid w:val="1BF64F23"/>
    <w:rsid w:val="1C1B767C"/>
    <w:rsid w:val="1CA340B2"/>
    <w:rsid w:val="1D07533D"/>
    <w:rsid w:val="1D3D39B3"/>
    <w:rsid w:val="1D6704B0"/>
    <w:rsid w:val="1DCC1DD5"/>
    <w:rsid w:val="1DDB655F"/>
    <w:rsid w:val="1E736CB7"/>
    <w:rsid w:val="1EBD423F"/>
    <w:rsid w:val="1EF37D35"/>
    <w:rsid w:val="1F264A2D"/>
    <w:rsid w:val="1F8C1214"/>
    <w:rsid w:val="1FC67E02"/>
    <w:rsid w:val="20FA7972"/>
    <w:rsid w:val="21491622"/>
    <w:rsid w:val="216D7D32"/>
    <w:rsid w:val="21773D3D"/>
    <w:rsid w:val="226F0986"/>
    <w:rsid w:val="22CD5C75"/>
    <w:rsid w:val="2507543C"/>
    <w:rsid w:val="2521637B"/>
    <w:rsid w:val="25245441"/>
    <w:rsid w:val="25601849"/>
    <w:rsid w:val="25F12274"/>
    <w:rsid w:val="261D4597"/>
    <w:rsid w:val="26B02E46"/>
    <w:rsid w:val="272F449B"/>
    <w:rsid w:val="274D6C6E"/>
    <w:rsid w:val="279F296A"/>
    <w:rsid w:val="27CA0D04"/>
    <w:rsid w:val="283A2B9E"/>
    <w:rsid w:val="2854458A"/>
    <w:rsid w:val="28A22C1D"/>
    <w:rsid w:val="28A828BE"/>
    <w:rsid w:val="28B0243C"/>
    <w:rsid w:val="290F4662"/>
    <w:rsid w:val="29230E58"/>
    <w:rsid w:val="299012A6"/>
    <w:rsid w:val="299B3C7E"/>
    <w:rsid w:val="29E3155D"/>
    <w:rsid w:val="2A054D89"/>
    <w:rsid w:val="2AB1252D"/>
    <w:rsid w:val="2AFC6824"/>
    <w:rsid w:val="2B0A2A32"/>
    <w:rsid w:val="2B136F3F"/>
    <w:rsid w:val="2B182AE7"/>
    <w:rsid w:val="2B285F4C"/>
    <w:rsid w:val="2B302E0E"/>
    <w:rsid w:val="2B6C773A"/>
    <w:rsid w:val="2C076EC2"/>
    <w:rsid w:val="2C1D3854"/>
    <w:rsid w:val="2C1E56AC"/>
    <w:rsid w:val="2C423C6A"/>
    <w:rsid w:val="2C487D66"/>
    <w:rsid w:val="2D370D62"/>
    <w:rsid w:val="2D6B1672"/>
    <w:rsid w:val="2E74677B"/>
    <w:rsid w:val="2E876392"/>
    <w:rsid w:val="2F905F0F"/>
    <w:rsid w:val="2FB379D2"/>
    <w:rsid w:val="30532CAD"/>
    <w:rsid w:val="306C04D0"/>
    <w:rsid w:val="31261D05"/>
    <w:rsid w:val="312C450A"/>
    <w:rsid w:val="31A73263"/>
    <w:rsid w:val="32FB097D"/>
    <w:rsid w:val="34170C5E"/>
    <w:rsid w:val="348D44BE"/>
    <w:rsid w:val="34BD092E"/>
    <w:rsid w:val="34FC4A07"/>
    <w:rsid w:val="355D34C2"/>
    <w:rsid w:val="35BD3F7E"/>
    <w:rsid w:val="36A86E4F"/>
    <w:rsid w:val="36A87D08"/>
    <w:rsid w:val="36CC6D9B"/>
    <w:rsid w:val="36D8130C"/>
    <w:rsid w:val="37375A96"/>
    <w:rsid w:val="37536F29"/>
    <w:rsid w:val="379B0C82"/>
    <w:rsid w:val="380B66F0"/>
    <w:rsid w:val="38520B54"/>
    <w:rsid w:val="388C0782"/>
    <w:rsid w:val="38AB2CAD"/>
    <w:rsid w:val="3947463D"/>
    <w:rsid w:val="39B95F63"/>
    <w:rsid w:val="3A9D16E9"/>
    <w:rsid w:val="3ACF4911"/>
    <w:rsid w:val="3AEF6E26"/>
    <w:rsid w:val="3B677A33"/>
    <w:rsid w:val="3BF42C55"/>
    <w:rsid w:val="3CAE5DFC"/>
    <w:rsid w:val="3CE00819"/>
    <w:rsid w:val="3CE410FB"/>
    <w:rsid w:val="3CF16D47"/>
    <w:rsid w:val="3CF86FD8"/>
    <w:rsid w:val="3E153F79"/>
    <w:rsid w:val="3F3D5906"/>
    <w:rsid w:val="409C60F2"/>
    <w:rsid w:val="41AB2792"/>
    <w:rsid w:val="41E128B6"/>
    <w:rsid w:val="422211DE"/>
    <w:rsid w:val="428F1165"/>
    <w:rsid w:val="4335097B"/>
    <w:rsid w:val="4336554F"/>
    <w:rsid w:val="436D554C"/>
    <w:rsid w:val="43DD32E8"/>
    <w:rsid w:val="43E576EF"/>
    <w:rsid w:val="43F671D1"/>
    <w:rsid w:val="442946B1"/>
    <w:rsid w:val="44722446"/>
    <w:rsid w:val="4485200B"/>
    <w:rsid w:val="459C6DF4"/>
    <w:rsid w:val="45A100D9"/>
    <w:rsid w:val="461E0F14"/>
    <w:rsid w:val="46202199"/>
    <w:rsid w:val="46827B2C"/>
    <w:rsid w:val="46D20856"/>
    <w:rsid w:val="46ED3DDD"/>
    <w:rsid w:val="47046BE9"/>
    <w:rsid w:val="471C3F27"/>
    <w:rsid w:val="476A1570"/>
    <w:rsid w:val="47A02CC3"/>
    <w:rsid w:val="48920375"/>
    <w:rsid w:val="489750AD"/>
    <w:rsid w:val="49715C1A"/>
    <w:rsid w:val="4A080452"/>
    <w:rsid w:val="4A24796D"/>
    <w:rsid w:val="4A931969"/>
    <w:rsid w:val="4AA76A04"/>
    <w:rsid w:val="4ACF5BD5"/>
    <w:rsid w:val="4ADE2128"/>
    <w:rsid w:val="4B081065"/>
    <w:rsid w:val="4B1B0D62"/>
    <w:rsid w:val="4B6C11C5"/>
    <w:rsid w:val="4B8774F6"/>
    <w:rsid w:val="4BA018A0"/>
    <w:rsid w:val="4BB54A65"/>
    <w:rsid w:val="4BC139DF"/>
    <w:rsid w:val="4BE800A8"/>
    <w:rsid w:val="4C44475B"/>
    <w:rsid w:val="4C7F2FC7"/>
    <w:rsid w:val="4CAF70FA"/>
    <w:rsid w:val="4D3C10D4"/>
    <w:rsid w:val="4D9A1270"/>
    <w:rsid w:val="4DD91163"/>
    <w:rsid w:val="4E667754"/>
    <w:rsid w:val="4E785AF9"/>
    <w:rsid w:val="4E7F4351"/>
    <w:rsid w:val="4E9C29C8"/>
    <w:rsid w:val="4F2C5E43"/>
    <w:rsid w:val="507B3EAC"/>
    <w:rsid w:val="5094042B"/>
    <w:rsid w:val="51345A4A"/>
    <w:rsid w:val="514C1629"/>
    <w:rsid w:val="5189585B"/>
    <w:rsid w:val="51BF1C5B"/>
    <w:rsid w:val="51EF23CF"/>
    <w:rsid w:val="5228229C"/>
    <w:rsid w:val="52C6471C"/>
    <w:rsid w:val="52C75862"/>
    <w:rsid w:val="52ED2B91"/>
    <w:rsid w:val="530055EA"/>
    <w:rsid w:val="538D3F38"/>
    <w:rsid w:val="54396FE8"/>
    <w:rsid w:val="547529FC"/>
    <w:rsid w:val="548C71C6"/>
    <w:rsid w:val="54A4514F"/>
    <w:rsid w:val="553906D6"/>
    <w:rsid w:val="55A04312"/>
    <w:rsid w:val="55A95FBF"/>
    <w:rsid w:val="55EC0707"/>
    <w:rsid w:val="5606023A"/>
    <w:rsid w:val="560E10DF"/>
    <w:rsid w:val="56470C48"/>
    <w:rsid w:val="565F340C"/>
    <w:rsid w:val="56B167D6"/>
    <w:rsid w:val="56B406C1"/>
    <w:rsid w:val="56D9390C"/>
    <w:rsid w:val="573E2F05"/>
    <w:rsid w:val="57577675"/>
    <w:rsid w:val="581072D6"/>
    <w:rsid w:val="58553C62"/>
    <w:rsid w:val="58584468"/>
    <w:rsid w:val="586B3923"/>
    <w:rsid w:val="593F27F6"/>
    <w:rsid w:val="59445AF6"/>
    <w:rsid w:val="59452E2A"/>
    <w:rsid w:val="598F074C"/>
    <w:rsid w:val="59A113D7"/>
    <w:rsid w:val="59FB13E6"/>
    <w:rsid w:val="5A836DBF"/>
    <w:rsid w:val="5A9F1EF3"/>
    <w:rsid w:val="5AE6390B"/>
    <w:rsid w:val="5B0B05EE"/>
    <w:rsid w:val="5B4858B6"/>
    <w:rsid w:val="5BAB01F3"/>
    <w:rsid w:val="5BD573C4"/>
    <w:rsid w:val="5C0B30CB"/>
    <w:rsid w:val="5C7E1671"/>
    <w:rsid w:val="5C993BA4"/>
    <w:rsid w:val="5CEE36FB"/>
    <w:rsid w:val="5D5C2DED"/>
    <w:rsid w:val="5DA975DF"/>
    <w:rsid w:val="5DFF0A4E"/>
    <w:rsid w:val="5E0B0F30"/>
    <w:rsid w:val="5E572795"/>
    <w:rsid w:val="5EC55967"/>
    <w:rsid w:val="5EDF37B0"/>
    <w:rsid w:val="5EFC4FAE"/>
    <w:rsid w:val="5F5D61AB"/>
    <w:rsid w:val="5FC67F7F"/>
    <w:rsid w:val="5FC72A7C"/>
    <w:rsid w:val="606652F3"/>
    <w:rsid w:val="60711F7C"/>
    <w:rsid w:val="60794DD9"/>
    <w:rsid w:val="60D84BAA"/>
    <w:rsid w:val="60F10307"/>
    <w:rsid w:val="61073EFD"/>
    <w:rsid w:val="616B6098"/>
    <w:rsid w:val="619930FC"/>
    <w:rsid w:val="61F66D7A"/>
    <w:rsid w:val="62D86767"/>
    <w:rsid w:val="634768BB"/>
    <w:rsid w:val="636C2141"/>
    <w:rsid w:val="63A74614"/>
    <w:rsid w:val="63E519B6"/>
    <w:rsid w:val="63F10485"/>
    <w:rsid w:val="641630FA"/>
    <w:rsid w:val="641A2B0E"/>
    <w:rsid w:val="64BC51BB"/>
    <w:rsid w:val="64D7377C"/>
    <w:rsid w:val="65371893"/>
    <w:rsid w:val="65511FC2"/>
    <w:rsid w:val="65C23CEA"/>
    <w:rsid w:val="65DD26BC"/>
    <w:rsid w:val="66AC16D0"/>
    <w:rsid w:val="66E7086C"/>
    <w:rsid w:val="675E1D06"/>
    <w:rsid w:val="67FE7D0B"/>
    <w:rsid w:val="682223A1"/>
    <w:rsid w:val="686858F0"/>
    <w:rsid w:val="69BE4912"/>
    <w:rsid w:val="6A083CE9"/>
    <w:rsid w:val="6BC50FCC"/>
    <w:rsid w:val="6C6C35BB"/>
    <w:rsid w:val="6CD53279"/>
    <w:rsid w:val="6DED7920"/>
    <w:rsid w:val="6F0076C4"/>
    <w:rsid w:val="6F217B91"/>
    <w:rsid w:val="6F880A7C"/>
    <w:rsid w:val="6FB768B3"/>
    <w:rsid w:val="6FBA7C49"/>
    <w:rsid w:val="6FC66DBE"/>
    <w:rsid w:val="70067E3B"/>
    <w:rsid w:val="703C6A8D"/>
    <w:rsid w:val="70E06F6C"/>
    <w:rsid w:val="71371C7F"/>
    <w:rsid w:val="71423819"/>
    <w:rsid w:val="71771431"/>
    <w:rsid w:val="71A54936"/>
    <w:rsid w:val="731F659A"/>
    <w:rsid w:val="733C6946"/>
    <w:rsid w:val="73C45ED5"/>
    <w:rsid w:val="740318A7"/>
    <w:rsid w:val="752A6F04"/>
    <w:rsid w:val="75407BEB"/>
    <w:rsid w:val="75B22B2A"/>
    <w:rsid w:val="75CA54B0"/>
    <w:rsid w:val="76096D0E"/>
    <w:rsid w:val="761F7F19"/>
    <w:rsid w:val="766E3C80"/>
    <w:rsid w:val="78252B09"/>
    <w:rsid w:val="78437247"/>
    <w:rsid w:val="786B78DC"/>
    <w:rsid w:val="78AB664F"/>
    <w:rsid w:val="791E4B27"/>
    <w:rsid w:val="792E7E07"/>
    <w:rsid w:val="79513A3A"/>
    <w:rsid w:val="79525F93"/>
    <w:rsid w:val="79766679"/>
    <w:rsid w:val="7A6E3869"/>
    <w:rsid w:val="7AC50E70"/>
    <w:rsid w:val="7AD27F80"/>
    <w:rsid w:val="7B0A1B64"/>
    <w:rsid w:val="7B8D40A8"/>
    <w:rsid w:val="7BB53C31"/>
    <w:rsid w:val="7C0A2225"/>
    <w:rsid w:val="7C241F73"/>
    <w:rsid w:val="7C5B3C69"/>
    <w:rsid w:val="7C682145"/>
    <w:rsid w:val="7CC708D7"/>
    <w:rsid w:val="7E1063E2"/>
    <w:rsid w:val="7E117417"/>
    <w:rsid w:val="7E1B3167"/>
    <w:rsid w:val="7E253EA8"/>
    <w:rsid w:val="7EC670E7"/>
    <w:rsid w:val="7F193C7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仿宋_GB2312" w:cs="Times New Roman"/>
      <w:kern w:val="2"/>
      <w:sz w:val="32"/>
      <w:szCs w:val="22"/>
      <w:lang w:val="en-US" w:eastAsia="zh-CN" w:bidi="ar-SA"/>
    </w:rPr>
  </w:style>
  <w:style w:type="paragraph" w:styleId="3">
    <w:name w:val="heading 1"/>
    <w:basedOn w:val="1"/>
    <w:next w:val="1"/>
    <w:link w:val="5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54"/>
    <w:qFormat/>
    <w:uiPriority w:val="0"/>
    <w:pPr>
      <w:keepNext/>
      <w:keepLines/>
      <w:spacing w:before="260" w:after="260" w:line="416" w:lineRule="auto"/>
      <w:outlineLvl w:val="1"/>
    </w:pPr>
    <w:rPr>
      <w:rFonts w:ascii="Arial" w:hAnsi="Arial" w:eastAsia="黑体"/>
      <w:b/>
      <w:bCs/>
      <w:szCs w:val="32"/>
    </w:rPr>
  </w:style>
  <w:style w:type="paragraph" w:styleId="5">
    <w:name w:val="heading 3"/>
    <w:basedOn w:val="1"/>
    <w:next w:val="1"/>
    <w:qFormat/>
    <w:uiPriority w:val="0"/>
    <w:pPr>
      <w:keepNext/>
      <w:keepLines/>
      <w:spacing w:before="260" w:after="260" w:line="416" w:lineRule="auto"/>
      <w:outlineLvl w:val="2"/>
    </w:pPr>
    <w:rPr>
      <w:b/>
      <w:bCs/>
      <w:szCs w:val="32"/>
    </w:rPr>
  </w:style>
  <w:style w:type="character" w:default="1" w:styleId="22">
    <w:name w:val="Default Paragraph Font"/>
    <w:unhideWhenUsed/>
    <w:qFormat/>
    <w:uiPriority w:val="1"/>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56"/>
    <w:qFormat/>
    <w:uiPriority w:val="0"/>
    <w:pPr>
      <w:spacing w:line="0" w:lineRule="atLeast"/>
    </w:pPr>
    <w:rPr>
      <w:rFonts w:eastAsia="小标宋" w:cs="Times New Roman"/>
      <w:sz w:val="44"/>
      <w:szCs w:val="32"/>
    </w:rPr>
  </w:style>
  <w:style w:type="paragraph" w:styleId="6">
    <w:name w:val="List Number"/>
    <w:basedOn w:val="1"/>
    <w:qFormat/>
    <w:uiPriority w:val="0"/>
    <w:rPr>
      <w:rFonts w:ascii="Times New Roman" w:hAnsi="Times New Roman" w:eastAsia="宋体"/>
      <w:smallCaps/>
      <w:sz w:val="28"/>
      <w:szCs w:val="24"/>
    </w:rPr>
  </w:style>
  <w:style w:type="paragraph" w:styleId="7">
    <w:name w:val="Normal Indent"/>
    <w:basedOn w:val="1"/>
    <w:next w:val="1"/>
    <w:unhideWhenUsed/>
    <w:qFormat/>
    <w:uiPriority w:val="99"/>
    <w:pPr>
      <w:ind w:firstLine="420" w:firstLineChars="200"/>
    </w:pPr>
  </w:style>
  <w:style w:type="paragraph" w:styleId="8">
    <w:name w:val="toa heading"/>
    <w:basedOn w:val="1"/>
    <w:next w:val="1"/>
    <w:qFormat/>
    <w:uiPriority w:val="0"/>
    <w:rPr>
      <w:rFonts w:ascii="Arial" w:hAnsi="Arial" w:eastAsia="宋体" w:cs="Times New Roman"/>
      <w:sz w:val="24"/>
      <w:szCs w:val="24"/>
    </w:rPr>
  </w:style>
  <w:style w:type="paragraph" w:styleId="9">
    <w:name w:val="Body Text Indent"/>
    <w:basedOn w:val="1"/>
    <w:link w:val="58"/>
    <w:unhideWhenUsed/>
    <w:qFormat/>
    <w:uiPriority w:val="99"/>
    <w:pPr>
      <w:spacing w:after="120"/>
      <w:ind w:left="420" w:leftChars="200"/>
    </w:pPr>
  </w:style>
  <w:style w:type="paragraph" w:styleId="10">
    <w:name w:val="Plain Text"/>
    <w:basedOn w:val="1"/>
    <w:link w:val="48"/>
    <w:qFormat/>
    <w:uiPriority w:val="0"/>
    <w:rPr>
      <w:rFonts w:hAnsi="Courier New"/>
      <w:sz w:val="24"/>
      <w:szCs w:val="24"/>
    </w:rPr>
  </w:style>
  <w:style w:type="paragraph" w:styleId="11">
    <w:name w:val="Date"/>
    <w:basedOn w:val="1"/>
    <w:next w:val="1"/>
    <w:qFormat/>
    <w:uiPriority w:val="0"/>
    <w:pPr>
      <w:ind w:left="100" w:leftChars="2500"/>
    </w:pPr>
  </w:style>
  <w:style w:type="paragraph" w:styleId="12">
    <w:name w:val="Body Text Indent 2"/>
    <w:basedOn w:val="1"/>
    <w:qFormat/>
    <w:uiPriority w:val="0"/>
    <w:pPr>
      <w:ind w:firstLine="630"/>
    </w:pPr>
    <w:rPr>
      <w:b/>
      <w:bCs/>
      <w:szCs w:val="32"/>
    </w:rPr>
  </w:style>
  <w:style w:type="paragraph" w:styleId="13">
    <w:name w:val="footer"/>
    <w:basedOn w:val="1"/>
    <w:link w:val="49"/>
    <w:unhideWhenUsed/>
    <w:qFormat/>
    <w:uiPriority w:val="0"/>
    <w:pPr>
      <w:tabs>
        <w:tab w:val="center" w:pos="4153"/>
        <w:tab w:val="right" w:pos="8306"/>
      </w:tabs>
      <w:snapToGrid w:val="0"/>
      <w:jc w:val="left"/>
    </w:pPr>
    <w:rPr>
      <w:sz w:val="18"/>
      <w:szCs w:val="18"/>
    </w:rPr>
  </w:style>
  <w:style w:type="paragraph" w:styleId="14">
    <w:name w:val="header"/>
    <w:basedOn w:val="1"/>
    <w:link w:val="62"/>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index 9"/>
    <w:basedOn w:val="1"/>
    <w:next w:val="1"/>
    <w:semiHidden/>
    <w:qFormat/>
    <w:uiPriority w:val="0"/>
    <w:pPr>
      <w:ind w:left="1600" w:leftChars="1600"/>
    </w:pPr>
  </w:style>
  <w:style w:type="paragraph" w:styleId="17">
    <w:name w:val="Normal (Web)"/>
    <w:basedOn w:val="1"/>
    <w:qFormat/>
    <w:uiPriority w:val="0"/>
    <w:pPr>
      <w:spacing w:before="100" w:beforeAutospacing="1" w:after="100" w:afterAutospacing="1"/>
      <w:jc w:val="left"/>
    </w:pPr>
    <w:rPr>
      <w:rFonts w:ascii="Calibri" w:hAnsi="Calibri" w:eastAsia="宋体"/>
      <w:kern w:val="0"/>
      <w:sz w:val="24"/>
      <w:szCs w:val="24"/>
    </w:rPr>
  </w:style>
  <w:style w:type="paragraph" w:styleId="18">
    <w:name w:val="Title"/>
    <w:basedOn w:val="1"/>
    <w:next w:val="1"/>
    <w:qFormat/>
    <w:uiPriority w:val="10"/>
    <w:pPr>
      <w:snapToGrid/>
      <w:spacing w:line="0" w:lineRule="atLeast"/>
      <w:ind w:firstLine="0"/>
      <w:jc w:val="center"/>
      <w:outlineLvl w:val="0"/>
    </w:pPr>
    <w:rPr>
      <w:rFonts w:ascii="等线 Light" w:hAnsi="等线 Light" w:eastAsia="方正小标宋简体" w:cs="黑体"/>
      <w:b/>
      <w:bCs/>
      <w:sz w:val="44"/>
      <w:szCs w:val="32"/>
    </w:rPr>
  </w:style>
  <w:style w:type="paragraph" w:styleId="19">
    <w:name w:val="Body Text First Indent 2"/>
    <w:basedOn w:val="9"/>
    <w:qFormat/>
    <w:uiPriority w:val="0"/>
    <w:pPr>
      <w:ind w:firstLine="420"/>
    </w:pPr>
    <w:rPr>
      <w:kern w:val="0"/>
      <w:sz w:val="20"/>
      <w:szCs w:val="20"/>
    </w:rPr>
  </w:style>
  <w:style w:type="table" w:styleId="21">
    <w:name w:val="Table Grid"/>
    <w:basedOn w:val="2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3">
    <w:name w:val="Strong"/>
    <w:basedOn w:val="22"/>
    <w:qFormat/>
    <w:uiPriority w:val="0"/>
    <w:rPr>
      <w:b/>
      <w:bCs/>
    </w:rPr>
  </w:style>
  <w:style w:type="character" w:styleId="24">
    <w:name w:val="page number"/>
    <w:basedOn w:val="22"/>
    <w:qFormat/>
    <w:uiPriority w:val="0"/>
  </w:style>
  <w:style w:type="character" w:styleId="25">
    <w:name w:val="Emphasis"/>
    <w:basedOn w:val="22"/>
    <w:qFormat/>
    <w:uiPriority w:val="0"/>
    <w:rPr>
      <w:rFonts w:eastAsia="宋体"/>
      <w:iCs/>
      <w:sz w:val="21"/>
    </w:rPr>
  </w:style>
  <w:style w:type="character" w:styleId="26">
    <w:name w:val="annotation reference"/>
    <w:basedOn w:val="22"/>
    <w:semiHidden/>
    <w:qFormat/>
    <w:uiPriority w:val="0"/>
    <w:rPr>
      <w:rFonts w:cs="Times New Roman"/>
      <w:sz w:val="21"/>
      <w:szCs w:val="21"/>
    </w:rPr>
  </w:style>
  <w:style w:type="paragraph" w:customStyle="1" w:styleId="27">
    <w:name w:val="Heading1"/>
    <w:next w:val="1"/>
    <w:qFormat/>
    <w:uiPriority w:val="0"/>
    <w:pPr>
      <w:spacing w:before="100" w:beforeAutospacing="1" w:after="100" w:afterAutospacing="1"/>
      <w:textAlignment w:val="baseline"/>
    </w:pPr>
    <w:rPr>
      <w:rFonts w:ascii="宋体" w:hAnsi="宋体" w:eastAsia="宋体" w:cs="Times New Roman"/>
      <w:b/>
      <w:kern w:val="44"/>
      <w:sz w:val="48"/>
      <w:szCs w:val="48"/>
      <w:lang w:val="en-US" w:eastAsia="zh-CN" w:bidi="ar-SA"/>
    </w:rPr>
  </w:style>
  <w:style w:type="paragraph" w:customStyle="1" w:styleId="28">
    <w:name w:val="Table Paragraph"/>
    <w:basedOn w:val="1"/>
    <w:qFormat/>
    <w:uiPriority w:val="1"/>
    <w:pPr>
      <w:jc w:val="left"/>
    </w:pPr>
    <w:rPr>
      <w:kern w:val="0"/>
      <w:sz w:val="22"/>
      <w:lang w:eastAsia="en-US"/>
    </w:rPr>
  </w:style>
  <w:style w:type="paragraph" w:customStyle="1" w:styleId="29">
    <w:name w:val="CM6"/>
    <w:basedOn w:val="30"/>
    <w:next w:val="30"/>
    <w:qFormat/>
    <w:uiPriority w:val="99"/>
    <w:pPr>
      <w:spacing w:line="491" w:lineRule="atLeast"/>
    </w:pPr>
    <w:rPr>
      <w:rFonts w:ascii="方正粗宋简体" w:hAnsi="Calibri" w:eastAsia="方正粗宋简体" w:cs="Times New Roman"/>
      <w:color w:val="auto"/>
    </w:rPr>
  </w:style>
  <w:style w:type="paragraph" w:customStyle="1" w:styleId="30">
    <w:name w:val="Default"/>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paragraph" w:customStyle="1" w:styleId="31">
    <w:name w:val="无间隔"/>
    <w:qFormat/>
    <w:uiPriority w:val="1"/>
    <w:pPr>
      <w:widowControl w:val="0"/>
      <w:jc w:val="both"/>
    </w:pPr>
    <w:rPr>
      <w:rFonts w:ascii="Times New Roman" w:hAnsi="Times New Roman" w:eastAsia="仿宋_GB2312" w:cs="Times New Roman"/>
      <w:kern w:val="2"/>
      <w:sz w:val="32"/>
      <w:szCs w:val="24"/>
      <w:lang w:val="en-US" w:eastAsia="zh-CN" w:bidi="ar-SA"/>
    </w:rPr>
  </w:style>
  <w:style w:type="paragraph" w:customStyle="1" w:styleId="32">
    <w:name w:val="CM5"/>
    <w:basedOn w:val="30"/>
    <w:next w:val="30"/>
    <w:qFormat/>
    <w:uiPriority w:val="99"/>
    <w:pPr>
      <w:spacing w:line="491" w:lineRule="atLeast"/>
    </w:pPr>
    <w:rPr>
      <w:rFonts w:ascii="方正粗宋简体" w:hAnsi="Calibri" w:eastAsia="方正粗宋简体" w:cs="Times New Roman"/>
      <w:color w:val="auto"/>
    </w:rPr>
  </w:style>
  <w:style w:type="paragraph" w:customStyle="1" w:styleId="33">
    <w:name w:val="CM12"/>
    <w:basedOn w:val="30"/>
    <w:next w:val="30"/>
    <w:qFormat/>
    <w:uiPriority w:val="99"/>
    <w:pPr>
      <w:spacing w:line="491" w:lineRule="atLeast"/>
    </w:pPr>
    <w:rPr>
      <w:rFonts w:ascii="方正粗宋简体" w:hAnsi="Calibri" w:eastAsia="方正粗宋简体" w:cs="Times New Roman"/>
      <w:color w:val="auto"/>
    </w:rPr>
  </w:style>
  <w:style w:type="paragraph" w:customStyle="1" w:styleId="34">
    <w:name w:val="p0"/>
    <w:basedOn w:val="1"/>
    <w:qFormat/>
    <w:uiPriority w:val="0"/>
    <w:pPr>
      <w:widowControl/>
    </w:pPr>
    <w:rPr>
      <w:rFonts w:hint="eastAsia" w:ascii="Times New Roman" w:hAnsi="Times New Roman"/>
      <w:szCs w:val="32"/>
    </w:rPr>
  </w:style>
  <w:style w:type="paragraph" w:styleId="35">
    <w:name w:val="List Paragraph"/>
    <w:basedOn w:val="1"/>
    <w:unhideWhenUsed/>
    <w:qFormat/>
    <w:uiPriority w:val="99"/>
    <w:pPr>
      <w:ind w:firstLine="420" w:firstLineChars="200"/>
    </w:pPr>
  </w:style>
  <w:style w:type="paragraph" w:customStyle="1" w:styleId="36">
    <w:name w:val="CM8"/>
    <w:basedOn w:val="30"/>
    <w:next w:val="30"/>
    <w:qFormat/>
    <w:uiPriority w:val="99"/>
    <w:pPr>
      <w:spacing w:line="491" w:lineRule="atLeast"/>
    </w:pPr>
    <w:rPr>
      <w:rFonts w:ascii="方正粗宋简体" w:hAnsi="Calibri" w:eastAsia="方正粗宋简体" w:cs="Times New Roman"/>
      <w:color w:val="auto"/>
    </w:rPr>
  </w:style>
  <w:style w:type="paragraph" w:customStyle="1" w:styleId="37">
    <w:name w:val="_Style 0"/>
    <w:qFormat/>
    <w:uiPriority w:val="1"/>
    <w:pPr>
      <w:widowControl w:val="0"/>
      <w:jc w:val="both"/>
    </w:pPr>
    <w:rPr>
      <w:rFonts w:ascii="Times New Roman" w:hAnsi="Times New Roman" w:eastAsia="仿宋_GB2312" w:cs="Times New Roman"/>
      <w:kern w:val="2"/>
      <w:sz w:val="32"/>
      <w:szCs w:val="24"/>
      <w:lang w:val="en-US" w:eastAsia="zh-CN" w:bidi="ar-SA"/>
    </w:rPr>
  </w:style>
  <w:style w:type="paragraph" w:customStyle="1" w:styleId="38">
    <w:name w:val="3"/>
    <w:basedOn w:val="1"/>
    <w:link w:val="59"/>
    <w:qFormat/>
    <w:uiPriority w:val="0"/>
    <w:pPr>
      <w:ind w:firstLine="200" w:firstLineChars="200"/>
    </w:pPr>
    <w:rPr>
      <w:rFonts w:eastAsia="Times New Roman"/>
      <w:b/>
      <w:sz w:val="24"/>
      <w:szCs w:val="24"/>
    </w:rPr>
  </w:style>
  <w:style w:type="paragraph" w:customStyle="1" w:styleId="39">
    <w:name w:val="样式 标题 1 +"/>
    <w:basedOn w:val="3"/>
    <w:qFormat/>
    <w:uiPriority w:val="0"/>
    <w:pPr>
      <w:tabs>
        <w:tab w:val="left" w:pos="1800"/>
      </w:tabs>
    </w:pPr>
    <w:rPr>
      <w:rFonts w:ascii="Times New Roman" w:hAnsi="Times New Roman" w:eastAsia="宋体"/>
      <w:kern w:val="2"/>
    </w:rPr>
  </w:style>
  <w:style w:type="paragraph" w:customStyle="1" w:styleId="40">
    <w:name w:val="无间隔1"/>
    <w:basedOn w:val="1"/>
    <w:qFormat/>
    <w:uiPriority w:val="1"/>
    <w:pPr>
      <w:spacing w:line="560" w:lineRule="exact"/>
      <w:jc w:val="left"/>
    </w:pPr>
    <w:rPr>
      <w:rFonts w:ascii="黑体" w:eastAsia="黑体"/>
      <w:szCs w:val="32"/>
    </w:rPr>
  </w:style>
  <w:style w:type="paragraph" w:customStyle="1" w:styleId="41">
    <w:name w:val="CM4"/>
    <w:basedOn w:val="30"/>
    <w:next w:val="30"/>
    <w:qFormat/>
    <w:uiPriority w:val="99"/>
    <w:pPr>
      <w:spacing w:line="491" w:lineRule="atLeast"/>
    </w:pPr>
    <w:rPr>
      <w:rFonts w:ascii="方正粗宋简体" w:hAnsi="Calibri" w:eastAsia="方正粗宋简体" w:cs="Times New Roman"/>
      <w:color w:val="auto"/>
    </w:rPr>
  </w:style>
  <w:style w:type="paragraph" w:customStyle="1" w:styleId="42">
    <w:name w:val="p18"/>
    <w:basedOn w:val="1"/>
    <w:qFormat/>
    <w:uiPriority w:val="0"/>
    <w:pPr>
      <w:widowControl/>
      <w:spacing w:before="100" w:beforeAutospacing="1" w:after="100" w:afterAutospacing="1"/>
      <w:jc w:val="left"/>
    </w:pPr>
    <w:rPr>
      <w:rFonts w:eastAsia="宋体" w:cs="宋体"/>
      <w:kern w:val="0"/>
      <w:sz w:val="24"/>
      <w:szCs w:val="24"/>
    </w:rPr>
  </w:style>
  <w:style w:type="paragraph" w:customStyle="1" w:styleId="43">
    <w:name w:val="列出段落"/>
    <w:basedOn w:val="1"/>
    <w:qFormat/>
    <w:uiPriority w:val="34"/>
    <w:pPr>
      <w:ind w:firstLine="420" w:firstLineChars="200"/>
    </w:pPr>
  </w:style>
  <w:style w:type="paragraph" w:customStyle="1" w:styleId="44">
    <w:name w:val="_Style 4"/>
    <w:basedOn w:val="1"/>
    <w:qFormat/>
    <w:uiPriority w:val="0"/>
    <w:rPr>
      <w:rFonts w:ascii="Times New Roman" w:hAnsi="Times New Roman"/>
      <w:szCs w:val="32"/>
    </w:rPr>
  </w:style>
  <w:style w:type="paragraph" w:customStyle="1" w:styleId="45">
    <w:name w:val="CM3"/>
    <w:basedOn w:val="30"/>
    <w:next w:val="30"/>
    <w:qFormat/>
    <w:uiPriority w:val="0"/>
    <w:pPr>
      <w:spacing w:line="560" w:lineRule="atLeast"/>
    </w:pPr>
    <w:rPr>
      <w:color w:val="auto"/>
    </w:rPr>
  </w:style>
  <w:style w:type="paragraph" w:customStyle="1" w:styleId="46">
    <w:name w:val="CM2"/>
    <w:basedOn w:val="30"/>
    <w:next w:val="30"/>
    <w:qFormat/>
    <w:uiPriority w:val="0"/>
    <w:pPr>
      <w:spacing w:line="560" w:lineRule="atLeast"/>
    </w:pPr>
    <w:rPr>
      <w:color w:val="auto"/>
    </w:rPr>
  </w:style>
  <w:style w:type="character" w:customStyle="1" w:styleId="47">
    <w:name w:val=" Char Char"/>
    <w:basedOn w:val="22"/>
    <w:link w:val="10"/>
    <w:qFormat/>
    <w:uiPriority w:val="0"/>
    <w:rPr>
      <w:rFonts w:ascii="宋体" w:hAnsi="Courier New" w:eastAsia="仿宋_GB2312"/>
      <w:kern w:val="2"/>
      <w:sz w:val="24"/>
      <w:szCs w:val="24"/>
    </w:rPr>
  </w:style>
  <w:style w:type="character" w:customStyle="1" w:styleId="48">
    <w:name w:val="纯文本 Char1"/>
    <w:basedOn w:val="22"/>
    <w:link w:val="10"/>
    <w:semiHidden/>
    <w:qFormat/>
    <w:uiPriority w:val="99"/>
    <w:rPr>
      <w:rFonts w:ascii="宋体" w:hAnsi="Courier New" w:cs="Courier New"/>
      <w:kern w:val="2"/>
      <w:sz w:val="21"/>
      <w:szCs w:val="21"/>
    </w:rPr>
  </w:style>
  <w:style w:type="character" w:customStyle="1" w:styleId="49">
    <w:name w:val=" Char Char3"/>
    <w:basedOn w:val="22"/>
    <w:link w:val="13"/>
    <w:qFormat/>
    <w:uiPriority w:val="99"/>
    <w:rPr>
      <w:rFonts w:ascii="宋体" w:hAnsi="宋体" w:eastAsia="方正仿宋简体"/>
      <w:sz w:val="18"/>
      <w:szCs w:val="18"/>
    </w:rPr>
  </w:style>
  <w:style w:type="character" w:customStyle="1" w:styleId="50">
    <w:name w:val="font61"/>
    <w:basedOn w:val="22"/>
    <w:qFormat/>
    <w:uiPriority w:val="0"/>
    <w:rPr>
      <w:rFonts w:hint="eastAsia" w:ascii="仿宋_GB2312" w:eastAsia="仿宋_GB2312" w:cs="仿宋_GB2312"/>
      <w:color w:val="000000"/>
      <w:sz w:val="28"/>
      <w:szCs w:val="28"/>
      <w:u w:val="none"/>
    </w:rPr>
  </w:style>
  <w:style w:type="character" w:customStyle="1" w:styleId="51">
    <w:name w:val=" Char Char6"/>
    <w:basedOn w:val="22"/>
    <w:link w:val="3"/>
    <w:qFormat/>
    <w:uiPriority w:val="9"/>
    <w:rPr>
      <w:rFonts w:ascii="宋体" w:hAnsi="宋体" w:eastAsia="仿宋_GB2312"/>
      <w:b/>
      <w:bCs/>
      <w:kern w:val="44"/>
      <w:sz w:val="44"/>
      <w:szCs w:val="44"/>
    </w:rPr>
  </w:style>
  <w:style w:type="character" w:customStyle="1" w:styleId="52">
    <w:name w:val="font21"/>
    <w:basedOn w:val="22"/>
    <w:qFormat/>
    <w:uiPriority w:val="0"/>
    <w:rPr>
      <w:rFonts w:hint="eastAsia" w:ascii="黑体" w:hAnsi="宋体" w:eastAsia="黑体" w:cs="黑体"/>
      <w:color w:val="000000"/>
      <w:sz w:val="36"/>
      <w:szCs w:val="36"/>
      <w:u w:val="none"/>
    </w:rPr>
  </w:style>
  <w:style w:type="character" w:customStyle="1" w:styleId="53">
    <w:name w:val="font31"/>
    <w:basedOn w:val="22"/>
    <w:qFormat/>
    <w:uiPriority w:val="0"/>
    <w:rPr>
      <w:rFonts w:hint="eastAsia" w:ascii="仿宋_GB2312" w:eastAsia="仿宋_GB2312" w:cs="仿宋_GB2312"/>
      <w:color w:val="000000"/>
      <w:sz w:val="36"/>
      <w:szCs w:val="36"/>
      <w:u w:val="none"/>
    </w:rPr>
  </w:style>
  <w:style w:type="character" w:customStyle="1" w:styleId="54">
    <w:name w:val=" Char Char5"/>
    <w:basedOn w:val="22"/>
    <w:link w:val="4"/>
    <w:qFormat/>
    <w:uiPriority w:val="0"/>
    <w:rPr>
      <w:rFonts w:ascii="Arial" w:hAnsi="Arial" w:eastAsia="黑体"/>
      <w:b/>
      <w:bCs/>
      <w:kern w:val="2"/>
      <w:sz w:val="32"/>
      <w:szCs w:val="32"/>
    </w:rPr>
  </w:style>
  <w:style w:type="character" w:customStyle="1" w:styleId="55">
    <w:name w:val="新闻内容"/>
    <w:basedOn w:val="22"/>
    <w:qFormat/>
    <w:uiPriority w:val="0"/>
  </w:style>
  <w:style w:type="character" w:customStyle="1" w:styleId="56">
    <w:name w:val=" Char Char1"/>
    <w:basedOn w:val="22"/>
    <w:link w:val="2"/>
    <w:qFormat/>
    <w:uiPriority w:val="0"/>
    <w:rPr>
      <w:rFonts w:ascii="宋体" w:hAnsi="宋体" w:eastAsia="小标宋" w:cs="Times New Roman"/>
      <w:sz w:val="44"/>
      <w:szCs w:val="32"/>
    </w:rPr>
  </w:style>
  <w:style w:type="character" w:customStyle="1" w:styleId="57">
    <w:name w:val="font01"/>
    <w:basedOn w:val="22"/>
    <w:qFormat/>
    <w:uiPriority w:val="0"/>
    <w:rPr>
      <w:rFonts w:hint="eastAsia" w:ascii="仿宋_GB2312" w:eastAsia="仿宋_GB2312" w:cs="仿宋_GB2312"/>
      <w:color w:val="000000"/>
      <w:sz w:val="36"/>
      <w:szCs w:val="36"/>
      <w:u w:val="none"/>
    </w:rPr>
  </w:style>
  <w:style w:type="character" w:customStyle="1" w:styleId="58">
    <w:name w:val=" Char Char4"/>
    <w:basedOn w:val="22"/>
    <w:link w:val="9"/>
    <w:semiHidden/>
    <w:qFormat/>
    <w:uiPriority w:val="99"/>
    <w:rPr>
      <w:rFonts w:ascii="宋体" w:hAnsi="宋体" w:eastAsia="仿宋_GB2312"/>
      <w:kern w:val="2"/>
      <w:sz w:val="32"/>
      <w:szCs w:val="22"/>
    </w:rPr>
  </w:style>
  <w:style w:type="character" w:customStyle="1" w:styleId="59">
    <w:name w:val="3 Char"/>
    <w:basedOn w:val="22"/>
    <w:link w:val="38"/>
    <w:qFormat/>
    <w:locked/>
    <w:uiPriority w:val="0"/>
    <w:rPr>
      <w:rFonts w:ascii="宋体" w:hAnsi="宋体"/>
      <w:b/>
      <w:kern w:val="2"/>
      <w:sz w:val="24"/>
      <w:szCs w:val="24"/>
      <w:lang w:bidi="ar-SA"/>
    </w:rPr>
  </w:style>
  <w:style w:type="character" w:customStyle="1" w:styleId="60">
    <w:name w:val="font41"/>
    <w:basedOn w:val="22"/>
    <w:qFormat/>
    <w:uiPriority w:val="0"/>
    <w:rPr>
      <w:rFonts w:hint="eastAsia" w:ascii="仿宋_GB2312" w:eastAsia="仿宋_GB2312" w:cs="仿宋_GB2312"/>
      <w:b/>
      <w:bCs/>
      <w:color w:val="000000"/>
      <w:sz w:val="36"/>
      <w:szCs w:val="36"/>
      <w:u w:val="none"/>
    </w:rPr>
  </w:style>
  <w:style w:type="character" w:customStyle="1" w:styleId="61">
    <w:name w:val="font51"/>
    <w:basedOn w:val="22"/>
    <w:qFormat/>
    <w:uiPriority w:val="0"/>
    <w:rPr>
      <w:rFonts w:hint="eastAsia" w:ascii="仿宋_GB2312" w:eastAsia="仿宋_GB2312" w:cs="仿宋_GB2312"/>
      <w:color w:val="000000"/>
      <w:sz w:val="36"/>
      <w:szCs w:val="36"/>
      <w:u w:val="none"/>
    </w:rPr>
  </w:style>
  <w:style w:type="character" w:customStyle="1" w:styleId="62">
    <w:name w:val=" Char Char2"/>
    <w:basedOn w:val="22"/>
    <w:link w:val="14"/>
    <w:semiHidden/>
    <w:qFormat/>
    <w:uiPriority w:val="99"/>
    <w:rPr>
      <w:rFonts w:ascii="宋体" w:hAnsi="宋体" w:eastAsia="方正仿宋简体"/>
      <w:sz w:val="18"/>
      <w:szCs w:val="18"/>
    </w:rPr>
  </w:style>
  <w:style w:type="paragraph" w:customStyle="1" w:styleId="63">
    <w:name w:val="样式 预案-正文 + 首行缩进:  2 字符"/>
    <w:basedOn w:val="1"/>
    <w:qFormat/>
    <w:uiPriority w:val="0"/>
    <w:pPr>
      <w:ind w:firstLine="549" w:firstLineChars="200"/>
    </w:pPr>
    <w:rPr>
      <w:rFonts w:ascii="仿宋_GB2312" w:hAnsi="宋体" w:eastAsia="仿宋_GB2312" w:cs="宋体"/>
      <w:sz w:val="28"/>
      <w:szCs w:val="28"/>
    </w:rPr>
  </w:style>
  <w:style w:type="character" w:customStyle="1" w:styleId="64">
    <w:name w:val="font11"/>
    <w:basedOn w:val="22"/>
    <w:qFormat/>
    <w:uiPriority w:val="0"/>
    <w:rPr>
      <w:rFonts w:hint="eastAsia" w:ascii="黑体" w:hAnsi="宋体" w:eastAsia="黑体" w:cs="黑体"/>
      <w:color w:val="000000"/>
      <w:sz w:val="24"/>
      <w:szCs w:val="24"/>
      <w:u w:val="none"/>
    </w:rPr>
  </w:style>
  <w:style w:type="character" w:customStyle="1" w:styleId="65">
    <w:name w:val="font71"/>
    <w:basedOn w:val="22"/>
    <w:qFormat/>
    <w:uiPriority w:val="0"/>
    <w:rPr>
      <w:rFonts w:ascii="方正小标宋简体" w:hAnsi="方正小标宋简体" w:eastAsia="方正小标宋简体" w:cs="方正小标宋简体"/>
      <w:color w:val="000000"/>
      <w:sz w:val="40"/>
      <w:szCs w:val="40"/>
      <w:u w:val="none"/>
    </w:rPr>
  </w:style>
  <w:style w:type="character" w:customStyle="1" w:styleId="66">
    <w:name w:val="正文内容格式 字符"/>
    <w:link w:val="67"/>
    <w:qFormat/>
    <w:locked/>
    <w:uiPriority w:val="99"/>
    <w:rPr>
      <w:rFonts w:ascii="Calibri"/>
      <w:kern w:val="0"/>
      <w:sz w:val="20"/>
      <w:szCs w:val="20"/>
    </w:rPr>
  </w:style>
  <w:style w:type="paragraph" w:customStyle="1" w:styleId="67">
    <w:name w:val="正文内容格式"/>
    <w:basedOn w:val="1"/>
    <w:link w:val="66"/>
    <w:qFormat/>
    <w:uiPriority w:val="99"/>
    <w:pPr>
      <w:spacing w:line="560" w:lineRule="exact"/>
      <w:ind w:firstLine="640" w:firstLineChars="200"/>
    </w:pPr>
    <w:rPr>
      <w:rFonts w:ascii="Calibri"/>
      <w:kern w:val="0"/>
      <w:sz w:val="20"/>
      <w:szCs w:val="20"/>
    </w:rPr>
  </w:style>
  <w:style w:type="paragraph" w:customStyle="1" w:styleId="68">
    <w:name w:val="引文目录1"/>
    <w:basedOn w:val="1"/>
    <w:next w:val="1"/>
    <w:qFormat/>
    <w:uiPriority w:val="0"/>
    <w:pPr>
      <w:ind w:left="420" w:leftChars="200"/>
    </w:pPr>
    <w:rPr>
      <w:rFonts w:ascii="Calibri" w:hAnsi="Calibri" w:cs="黑体"/>
      <w:szCs w:val="24"/>
    </w:rPr>
  </w:style>
  <w:style w:type="paragraph" w:customStyle="1" w:styleId="69">
    <w:name w:val="Table of Authorities1"/>
    <w:basedOn w:val="1"/>
    <w:next w:val="1"/>
    <w:qFormat/>
    <w:uiPriority w:val="99"/>
    <w:pPr>
      <w:ind w:left="420" w:leftChars="200"/>
    </w:pPr>
    <w:rPr>
      <w:rFonts w:ascii="Calibri" w:hAnsi="Calibri" w:cs="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20</Pages>
  <Words>7843</Words>
  <Characters>8239</Characters>
  <Lines>676</Lines>
  <Paragraphs>190</Paragraphs>
  <TotalTime>16</TotalTime>
  <ScaleCrop>false</ScaleCrop>
  <LinksUpToDate>false</LinksUpToDate>
  <CharactersWithSpaces>8289</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2015-07-24T09:20:00Z</dcterms:created>
  <dc:creator>Administrator</dc:creator>
  <cp:lastModifiedBy>Administrator</cp:lastModifiedBy>
  <cp:lastPrinted>2024-12-17T06:35:38Z</cp:lastPrinted>
  <dcterms:modified xsi:type="dcterms:W3CDTF">2024-12-17T06:48:33Z</dcterms:modified>
  <dc:title>目  录</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B1BEB0B2FB04416CADC17898EAE3B569</vt:lpwstr>
  </property>
</Properties>
</file>