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Times New Roman" w:eastAsia="黑体"/>
          <w:szCs w:val="32"/>
        </w:rPr>
      </w:pPr>
    </w:p>
    <w:p>
      <w:pPr>
        <w:pStyle w:val="15"/>
        <w:rPr>
          <w:rFonts w:hint="eastAsia"/>
        </w:rPr>
      </w:pPr>
    </w:p>
    <w:p>
      <w:pPr>
        <w:rPr>
          <w:rFonts w:hint="eastAsia" w:ascii="黑体" w:eastAsia="黑体"/>
          <w:szCs w:val="32"/>
        </w:rPr>
      </w:pPr>
    </w:p>
    <w:p>
      <w:pPr>
        <w:rPr>
          <w:rFonts w:hint="eastAsia"/>
          <w:szCs w:val="32"/>
        </w:rPr>
      </w:pPr>
      <w:r>
        <w:rPr>
          <w:rFonts w:hint="eastAsia"/>
          <w:szCs w:val="32"/>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margin">
                  <wp:posOffset>1080135</wp:posOffset>
                </wp:positionV>
                <wp:extent cx="5574665" cy="956945"/>
                <wp:effectExtent l="0" t="0" r="0" b="0"/>
                <wp:wrapNone/>
                <wp:docPr id="1" name="WJBT"/>
                <wp:cNvGraphicFramePr/>
                <a:graphic xmlns:a="http://schemas.openxmlformats.org/drawingml/2006/main">
                  <a:graphicData uri="http://schemas.microsoft.com/office/word/2010/wordprocessingShape">
                    <wps:wsp>
                      <wps:cNvSpPr txBox="1"/>
                      <wps:spPr>
                        <a:xfrm>
                          <a:off x="0" y="0"/>
                          <a:ext cx="5574665" cy="956945"/>
                        </a:xfrm>
                        <a:prstGeom prst="rect">
                          <a:avLst/>
                        </a:prstGeom>
                        <a:noFill/>
                        <a:ln w="9525">
                          <a:noFill/>
                        </a:ln>
                      </wps:spPr>
                      <wps:txbx>
                        <w:txbxContent>
                          <w:p>
                            <w:pPr>
                              <w:spacing w:line="1600" w:lineRule="exact"/>
                              <w:ind w:right="77" w:rightChars="24"/>
                              <w:jc w:val="distribute"/>
                              <w:rPr>
                                <w:rFonts w:hint="eastAsia" w:ascii="方正粗宋简体" w:hAnsi="Times New Roman" w:eastAsia="方正粗宋简体"/>
                                <w:color w:val="FF0000"/>
                                <w:spacing w:val="-45"/>
                                <w:w w:val="45"/>
                                <w:kern w:val="0"/>
                                <w:sz w:val="144"/>
                                <w:szCs w:val="144"/>
                              </w:rPr>
                            </w:pPr>
                            <w:r>
                              <w:rPr>
                                <w:rFonts w:hint="eastAsia" w:ascii="方正粗宋简体" w:hAnsi="Times New Roman" w:eastAsia="方正粗宋简体"/>
                                <w:color w:val="FF0000"/>
                                <w:spacing w:val="-45"/>
                                <w:w w:val="45"/>
                                <w:kern w:val="0"/>
                                <w:sz w:val="144"/>
                                <w:szCs w:val="144"/>
                              </w:rPr>
                              <w:t>烟台</w:t>
                            </w:r>
                            <w:r>
                              <w:rPr>
                                <w:rFonts w:hint="eastAsia" w:ascii="方正粗宋简体" w:hAnsi="Times New Roman" w:eastAsia="方正粗宋简体"/>
                                <w:color w:val="FF0000"/>
                                <w:spacing w:val="-45"/>
                                <w:w w:val="45"/>
                                <w:kern w:val="0"/>
                                <w:sz w:val="144"/>
                                <w:szCs w:val="144"/>
                                <w:lang w:eastAsia="zh-CN"/>
                              </w:rPr>
                              <w:t>黄渤海新区</w:t>
                            </w:r>
                            <w:r>
                              <w:rPr>
                                <w:rFonts w:hint="eastAsia" w:ascii="方正粗宋简体" w:hAnsi="Times New Roman" w:eastAsia="方正粗宋简体"/>
                                <w:color w:val="FF0000"/>
                                <w:spacing w:val="-45"/>
                                <w:w w:val="45"/>
                                <w:kern w:val="0"/>
                                <w:sz w:val="144"/>
                                <w:szCs w:val="144"/>
                              </w:rPr>
                              <w:t>管委办公室文件</w:t>
                            </w:r>
                          </w:p>
                        </w:txbxContent>
                      </wps:txbx>
                      <wps:bodyPr vert="horz" wrap="square" lIns="0" tIns="0" rIns="0" bIns="0" anchor="t" upright="1"/>
                    </wps:wsp>
                  </a:graphicData>
                </a:graphic>
              </wp:anchor>
            </w:drawing>
          </mc:Choice>
          <mc:Fallback>
            <w:pict>
              <v:shape id="WJBT" o:spid="_x0000_s1026" o:spt="202" type="#_x0000_t202" style="position:absolute;left:0pt;margin-top:85.05pt;height:75.35pt;width:438.95pt;mso-position-horizontal:center;mso-position-vertical-relative:margin;z-index:-251657216;mso-width-relative:page;mso-height-relative:page;" filled="f" stroked="f" coordsize="21600,21600" o:gfxdata="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g2ajXAAAACAEAAA8AAAAAAAAAAQAgAAAAIgAAAGRycy9k&#10;b3ducmV2LnhtbFBLAQIUABQAAAAIAIdO4kCrQ0d+ygEAAJkDAAAOAAAAAAAAAAEAIAAAACYBAABk&#10;cnMvZTJvRG9jLnhtbFBLBQYAAAAABgAGAFkBAABiBQAAAAA=&#10;">
                <v:fill on="f" focussize="0,0"/>
                <v:stroke on="f"/>
                <v:imagedata o:title=""/>
                <o:lock v:ext="edit" aspectratio="f"/>
                <v:textbox inset="0mm,0mm,0mm,0mm">
                  <w:txbxContent>
                    <w:p>
                      <w:pPr>
                        <w:spacing w:line="1600" w:lineRule="exact"/>
                        <w:ind w:right="77" w:rightChars="24"/>
                        <w:jc w:val="distribute"/>
                        <w:rPr>
                          <w:rFonts w:hint="eastAsia" w:ascii="方正粗宋简体" w:hAnsi="Times New Roman" w:eastAsia="方正粗宋简体"/>
                          <w:color w:val="FF0000"/>
                          <w:spacing w:val="-45"/>
                          <w:w w:val="45"/>
                          <w:kern w:val="0"/>
                          <w:sz w:val="144"/>
                          <w:szCs w:val="144"/>
                        </w:rPr>
                      </w:pPr>
                      <w:r>
                        <w:rPr>
                          <w:rFonts w:hint="eastAsia" w:ascii="方正粗宋简体" w:hAnsi="Times New Roman" w:eastAsia="方正粗宋简体"/>
                          <w:color w:val="FF0000"/>
                          <w:spacing w:val="-45"/>
                          <w:w w:val="45"/>
                          <w:kern w:val="0"/>
                          <w:sz w:val="144"/>
                          <w:szCs w:val="144"/>
                        </w:rPr>
                        <w:t>烟台</w:t>
                      </w:r>
                      <w:r>
                        <w:rPr>
                          <w:rFonts w:hint="eastAsia" w:ascii="方正粗宋简体" w:hAnsi="Times New Roman" w:eastAsia="方正粗宋简体"/>
                          <w:color w:val="FF0000"/>
                          <w:spacing w:val="-45"/>
                          <w:w w:val="45"/>
                          <w:kern w:val="0"/>
                          <w:sz w:val="144"/>
                          <w:szCs w:val="144"/>
                          <w:lang w:eastAsia="zh-CN"/>
                        </w:rPr>
                        <w:t>黄渤海新区</w:t>
                      </w:r>
                      <w:r>
                        <w:rPr>
                          <w:rFonts w:hint="eastAsia" w:ascii="方正粗宋简体" w:hAnsi="Times New Roman" w:eastAsia="方正粗宋简体"/>
                          <w:color w:val="FF0000"/>
                          <w:spacing w:val="-45"/>
                          <w:w w:val="45"/>
                          <w:kern w:val="0"/>
                          <w:sz w:val="144"/>
                          <w:szCs w:val="144"/>
                        </w:rPr>
                        <w:t>管委办公室文件</w:t>
                      </w:r>
                    </w:p>
                  </w:txbxContent>
                </v:textbox>
              </v:shape>
            </w:pict>
          </mc:Fallback>
        </mc:AlternateContent>
      </w:r>
    </w:p>
    <w:p>
      <w:pPr>
        <w:tabs>
          <w:tab w:val="left" w:pos="2212"/>
        </w:tabs>
        <w:rPr>
          <w:rFonts w:hint="eastAsia"/>
          <w:szCs w:val="32"/>
        </w:rPr>
      </w:pPr>
    </w:p>
    <w:p>
      <w:pPr>
        <w:ind w:right="316" w:rightChars="100"/>
        <w:rPr>
          <w:szCs w:val="32"/>
        </w:rPr>
      </w:pPr>
    </w:p>
    <w:p>
      <w:pPr>
        <w:jc w:val="center"/>
        <w:rPr>
          <w:rFonts w:hint="eastAsia" w:ascii="仿宋_GB2312"/>
          <w:szCs w:val="32"/>
        </w:rPr>
      </w:pPr>
    </w:p>
    <w:p>
      <w:pPr>
        <w:jc w:val="center"/>
        <w:rPr>
          <w:rFonts w:hint="eastAsia" w:ascii="仿宋_GB2312"/>
          <w:szCs w:val="32"/>
        </w:rPr>
      </w:pPr>
      <w:r>
        <w:rPr>
          <w:rFonts w:hint="eastAsia" w:ascii="仿宋_GB2312"/>
          <w:szCs w:val="32"/>
        </w:rPr>
        <w:t>烟</w:t>
      </w:r>
      <w:r>
        <w:rPr>
          <w:rFonts w:hint="eastAsia" w:ascii="仿宋_GB2312"/>
          <w:szCs w:val="32"/>
          <w:lang w:eastAsia="zh-CN"/>
        </w:rPr>
        <w:t>黄新管办</w:t>
      </w:r>
      <w:r>
        <w:rPr>
          <w:rFonts w:hint="eastAsia" w:ascii="仿宋_GB2312"/>
          <w:szCs w:val="32"/>
        </w:rPr>
        <w:t>〔20</w:t>
      </w:r>
      <w:r>
        <w:rPr>
          <w:rFonts w:hint="eastAsia" w:ascii="仿宋_GB2312"/>
          <w:szCs w:val="32"/>
          <w:lang w:val="en-US" w:eastAsia="zh-CN"/>
        </w:rPr>
        <w:t>24</w:t>
      </w:r>
      <w:r>
        <w:rPr>
          <w:rFonts w:hint="eastAsia" w:ascii="仿宋_GB2312"/>
          <w:szCs w:val="32"/>
        </w:rPr>
        <w:t>〕</w:t>
      </w:r>
      <w:r>
        <w:rPr>
          <w:rFonts w:hint="eastAsia" w:ascii="仿宋_GB2312"/>
          <w:szCs w:val="32"/>
          <w:lang w:val="en-US" w:eastAsia="zh-CN"/>
        </w:rPr>
        <w:t>12</w:t>
      </w:r>
      <w:r>
        <w:rPr>
          <w:rFonts w:hint="eastAsia" w:ascii="仿宋_GB2312"/>
          <w:szCs w:val="32"/>
        </w:rPr>
        <w:t>号</w:t>
      </w:r>
    </w:p>
    <w:p>
      <w:pPr>
        <w:rPr>
          <w:rFonts w:hint="eastAsia"/>
          <w:szCs w:val="32"/>
        </w:rPr>
      </w:pPr>
    </w:p>
    <w:p>
      <w:pPr>
        <w:rPr>
          <w:rFonts w:hint="eastAsia"/>
          <w:szCs w:val="32"/>
        </w:rPr>
      </w:pPr>
      <w:r>
        <w:rPr>
          <w:rFonts w:hint="eastAsia"/>
          <w:szCs w:val="32"/>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4356735</wp:posOffset>
                </wp:positionV>
                <wp:extent cx="5615940" cy="0"/>
                <wp:effectExtent l="0" t="0" r="0" b="0"/>
                <wp:wrapNone/>
                <wp:docPr id="2" name="BTBX"/>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0.05pt;margin-top:343.05pt;height:0pt;width:442.2pt;mso-position-vertical-relative:page;z-index:251660288;mso-width-relative:page;mso-height-relative:page;" filled="f" stroked="t" coordsize="21600,21600" o:gfxdata="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cnb9cAAAAJAQAADwAA&#10;AAAAAAABACAAAAAiAAAAZHJzL2Rvd25yZXYueG1sUEsBAhQAFAAAAAgAh07iQBjEXAzeAQAA2AMA&#10;AA4AAAAAAAAAAQAgAAAAJgEAAGRycy9lMm9Eb2MueG1sUEsFBgAAAAAGAAYAWQEAAHYFAAAAAA==&#10;">
                <v:fill on="f" focussize="0,0"/>
                <v:stroke weight="1.75pt" color="#FF0000" joinstyle="round"/>
                <v:imagedata o:title=""/>
                <o:lock v:ext="edit" aspectratio="f"/>
                <w10:anchorlock/>
              </v:line>
            </w:pict>
          </mc:Fallback>
        </mc:AlternateConten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w:t>
      </w:r>
      <w:r>
        <w:rPr>
          <w:rFonts w:hint="eastAsia" w:ascii="方正小标宋简体" w:hAnsi="方正小标宋简体" w:eastAsia="方正小标宋简体" w:cs="方正小标宋简体"/>
          <w:sz w:val="44"/>
          <w:szCs w:val="44"/>
          <w:lang w:eastAsia="zh-CN"/>
        </w:rPr>
        <w:t>黄渤海新区</w:t>
      </w:r>
      <w:r>
        <w:rPr>
          <w:rFonts w:hint="eastAsia" w:ascii="方正小标宋简体" w:hAnsi="方正小标宋简体" w:eastAsia="方正小标宋简体" w:cs="方正小标宋简体"/>
          <w:sz w:val="44"/>
          <w:szCs w:val="44"/>
        </w:rPr>
        <w:t>管委办公室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关于印发《烟台黄渤海新区管委</w:t>
      </w:r>
      <w:r>
        <w:rPr>
          <w:rFonts w:hint="eastAsia" w:ascii="方正小标宋简体" w:hAnsi="方正小标宋简体" w:eastAsia="方正小标宋简体" w:cs="方正小标宋简体"/>
          <w:sz w:val="44"/>
          <w:szCs w:val="44"/>
          <w:lang w:val="en-US" w:eastAsia="zh-CN"/>
        </w:rPr>
        <w:t>2024年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法治政府建设工作计划</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各街道（镇）办事处（政府），直属各部门、单位，中央、省、市驻区有关单位：</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现将《烟台黄渤海新区管委2024年法治政府建设工作计划》印发给你们，请结合各自实际，认真抓好贯彻落实。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622" w:rightChars="197"/>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烟台黄渤海新区管委办公室</w:t>
      </w:r>
    </w:p>
    <w:p>
      <w:pPr>
        <w:keepNext w:val="0"/>
        <w:keepLines w:val="0"/>
        <w:pageBreakBefore w:val="0"/>
        <w:widowControl w:val="0"/>
        <w:tabs>
          <w:tab w:val="left" w:pos="7460"/>
        </w:tabs>
        <w:kinsoku/>
        <w:wordWrap/>
        <w:overflowPunct/>
        <w:topLinePunct w:val="0"/>
        <w:autoSpaceDE/>
        <w:autoSpaceDN/>
        <w:bidi w:val="0"/>
        <w:adjustRightInd/>
        <w:snapToGrid/>
        <w:spacing w:line="600" w:lineRule="exact"/>
        <w:ind w:right="1264" w:rightChars="400"/>
        <w:jc w:val="right"/>
        <w:textAlignment w:val="auto"/>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2098" w:right="1531" w:bottom="1984" w:left="1531" w:header="851" w:footer="1587" w:gutter="0"/>
          <w:pgNumType w:fmt="decimal"/>
          <w:cols w:space="0" w:num="1"/>
          <w:rtlGutter w:val="0"/>
          <w:docGrid w:type="linesAndChars" w:linePitch="579" w:charSpace="-849"/>
        </w:sectPr>
      </w:pPr>
      <w:r>
        <w:rPr>
          <w:rFonts w:hint="eastAsia" w:ascii="仿宋_GB2312" w:hAnsi="仿宋_GB2312" w:eastAsia="仿宋_GB2312" w:cs="仿宋_GB2312"/>
          <w:sz w:val="32"/>
          <w:szCs w:val="32"/>
          <w:lang w:val="en-US" w:eastAsia="zh-CN"/>
        </w:rPr>
        <w:t>2024年6月28日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烟台黄渤海新区管委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2024年法治政府建设工作计划</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仿宋_GB2312" w:eastAsia="仿宋_GB2312"/>
          <w:sz w:val="32"/>
          <w:szCs w:val="32"/>
        </w:rPr>
        <w:t>为全面贯彻党的二十大和二十届二中全会精神，加快推进法治政府建设，持续提升依法行政水平</w:t>
      </w:r>
      <w:r>
        <w:rPr>
          <w:rFonts w:hint="eastAsia" w:ascii="仿宋_GB2312" w:eastAsia="仿宋_GB2312"/>
          <w:sz w:val="32"/>
          <w:szCs w:val="32"/>
          <w:lang w:eastAsia="zh-CN"/>
        </w:rPr>
        <w:t>，</w:t>
      </w:r>
      <w:r>
        <w:rPr>
          <w:rFonts w:hint="eastAsia" w:ascii="仿宋_GB2312" w:eastAsia="仿宋_GB2312"/>
          <w:sz w:val="32"/>
          <w:szCs w:val="32"/>
          <w:lang w:val="en-US" w:eastAsia="zh-CN"/>
        </w:rPr>
        <w:t>根据中共中央、国务院</w:t>
      </w:r>
      <w:r>
        <w:rPr>
          <w:rFonts w:hint="eastAsia" w:ascii="仿宋_GB2312" w:eastAsia="仿宋_GB2312"/>
          <w:sz w:val="32"/>
          <w:szCs w:val="32"/>
        </w:rPr>
        <w:t>《法治政府建设实施纲要（2021—2025年）》和《山东省贯彻落实〈法治政府建设实施纲要（2021—2025年）〉实施方案》《烟台市贯彻落实〈法治政府建设实施纲要（2021—2025年）〉实施意见》，结合</w:t>
      </w:r>
      <w:r>
        <w:rPr>
          <w:rFonts w:hint="eastAsia" w:ascii="仿宋_GB2312" w:eastAsia="仿宋_GB2312"/>
          <w:sz w:val="32"/>
          <w:szCs w:val="32"/>
          <w:lang w:val="en-US" w:eastAsia="zh-CN"/>
        </w:rPr>
        <w:t>我区</w:t>
      </w:r>
      <w:r>
        <w:rPr>
          <w:rFonts w:hint="eastAsia" w:ascii="仿宋_GB2312" w:eastAsia="仿宋_GB2312"/>
          <w:sz w:val="32"/>
          <w:szCs w:val="32"/>
        </w:rPr>
        <w:t>实际，制定本工作计划。</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黑体" w:hAnsi="黑体" w:eastAsia="黑体" w:cs="黑体"/>
          <w:sz w:val="32"/>
          <w:szCs w:val="32"/>
        </w:rPr>
        <w:t>一、依法全面履行政府职能</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楷体_GB2312" w:hAnsi="楷体_GB2312" w:eastAsia="楷体_GB2312" w:cs="楷体_GB2312"/>
          <w:sz w:val="32"/>
          <w:szCs w:val="32"/>
        </w:rPr>
        <w:t>1.健全完善机构职能体系</w:t>
      </w:r>
      <w:r>
        <w:rPr>
          <w:rFonts w:hint="eastAsia" w:ascii="楷体_GB2312" w:hAnsi="楷体_GB2312" w:eastAsia="楷体_GB2312" w:cs="楷体_GB2312"/>
          <w:sz w:val="32"/>
          <w:szCs w:val="32"/>
          <w:lang w:eastAsia="zh-CN"/>
        </w:rPr>
        <w:t>。</w:t>
      </w:r>
      <w:r>
        <w:rPr>
          <w:rFonts w:hint="eastAsia" w:ascii="仿宋_GB2312" w:eastAsia="仿宋_GB2312"/>
          <w:sz w:val="32"/>
          <w:szCs w:val="32"/>
        </w:rPr>
        <w:t>调整优化科学技术、数据管理、乡村振兴等重点领域机构职能，做好权责清单动态调整，加强职能运行监管评估，推动部门更好依法依单履职。</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工委组织部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工委政法委，有关部门（单位）</w:t>
      </w:r>
      <w:r>
        <w:rPr>
          <w:rFonts w:hint="eastAsia" w:ascii="楷体_GB2312" w:hAnsi="楷体_GB2312" w:eastAsia="楷体_GB2312" w:cs="楷体_GB231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楷体_GB2312" w:hAnsi="楷体_GB2312" w:eastAsia="楷体_GB2312" w:cs="楷体_GB2312"/>
          <w:sz w:val="32"/>
          <w:szCs w:val="32"/>
        </w:rPr>
        <w:t>2.深化行政许可事项清单管理。</w:t>
      </w:r>
      <w:r>
        <w:rPr>
          <w:rFonts w:hint="eastAsia" w:ascii="仿宋_GB2312" w:eastAsia="仿宋_GB2312"/>
          <w:sz w:val="32"/>
          <w:szCs w:val="32"/>
        </w:rPr>
        <w:t>开展行政许可事项清单管理应用情况监督检查，推进行政许可事项标准化成果应用，实现同一事项同要素管理、同标准办理。</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工委</w:t>
      </w:r>
      <w:r>
        <w:rPr>
          <w:rFonts w:hint="eastAsia" w:ascii="楷体_GB2312" w:hAnsi="楷体_GB2312" w:eastAsia="楷体_GB2312" w:cs="楷体_GB2312"/>
          <w:sz w:val="32"/>
          <w:szCs w:val="32"/>
        </w:rPr>
        <w:t>办公室，有关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highlight w:val="none"/>
        </w:rPr>
        <w:t>3.深化推进政务服务集成化办理。</w:t>
      </w:r>
      <w:r>
        <w:rPr>
          <w:rFonts w:hint="eastAsia" w:ascii="仿宋_GB2312" w:eastAsia="仿宋_GB2312"/>
          <w:sz w:val="32"/>
          <w:szCs w:val="32"/>
          <w:highlight w:val="none"/>
        </w:rPr>
        <w:t>聚焦高频关联办事需求，对国家、省定的“一件事”场景全量认领，逐个建立工作机制，进一步深化“双全双百”工程。2024年10月底前，按照省“一件事”工作指引完成流程再造，重点打造“用海集成审批服务”等10个“一件事”场景，打造“一件事”服务“新区样板”。</w:t>
      </w:r>
      <w:r>
        <w:rPr>
          <w:rFonts w:hint="eastAsia" w:ascii="楷体_GB2312" w:hAnsi="楷体_GB2312" w:eastAsia="楷体_GB2312" w:cs="楷体_GB2312"/>
          <w:sz w:val="32"/>
          <w:szCs w:val="32"/>
        </w:rPr>
        <w:t>（责任单位：行政审批局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工委办公室</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sz w:val="32"/>
          <w:szCs w:val="32"/>
        </w:rPr>
        <w:t>；完成时限：10月底前）</w:t>
      </w:r>
    </w:p>
    <w:p>
      <w:pPr>
        <w:pStyle w:val="8"/>
        <w:keepNext w:val="0"/>
        <w:keepLines w:val="0"/>
        <w:pageBreakBefore w:val="0"/>
        <w:widowControl w:val="0"/>
        <w:kinsoku/>
        <w:wordWrap/>
        <w:overflowPunct/>
        <w:topLinePunct/>
        <w:autoSpaceDE/>
        <w:autoSpaceDN/>
        <w:bidi w:val="0"/>
        <w:adjustRightInd/>
        <w:snapToGrid/>
        <w:spacing w:line="240" w:lineRule="auto"/>
        <w:ind w:left="0" w:right="0" w:firstLine="632"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4.全面实施市场准入负面清单制度。</w:t>
      </w:r>
      <w:r>
        <w:rPr>
          <w:rFonts w:hint="eastAsia" w:ascii="仿宋_GB2312" w:hAnsi="Calibri" w:eastAsia="仿宋_GB2312" w:cs="Times New Roman"/>
          <w:kern w:val="2"/>
          <w:sz w:val="32"/>
          <w:szCs w:val="32"/>
          <w:highlight w:val="none"/>
          <w:lang w:val="en-US" w:eastAsia="zh-CN" w:bidi="ar-SA"/>
        </w:rPr>
        <w:t>持续开展市场准入壁垒排查清理和违背市场准入负面清单问题自查自纠，优化市场准入环境，推动“非禁即入”普遍落实。</w:t>
      </w:r>
      <w:r>
        <w:rPr>
          <w:rFonts w:hint="eastAsia" w:ascii="楷体_GB2312" w:hAnsi="楷体_GB2312" w:eastAsia="楷体_GB2312" w:cs="楷体_GB2312"/>
          <w:kern w:val="2"/>
          <w:sz w:val="32"/>
          <w:szCs w:val="32"/>
          <w:highlight w:val="none"/>
          <w:lang w:val="en-US" w:eastAsia="zh-CN" w:bidi="ar-SA"/>
        </w:rPr>
        <w:t>（责任单位：经发科创局、自贸局，</w:t>
      </w:r>
      <w:r>
        <w:rPr>
          <w:rFonts w:hint="eastAsia" w:ascii="楷体_GB2312" w:hAnsi="楷体_GB2312" w:eastAsia="楷体_GB2312" w:cs="楷体_GB2312"/>
          <w:sz w:val="32"/>
          <w:szCs w:val="32"/>
          <w:highlight w:val="none"/>
        </w:rPr>
        <w:t>有关</w:t>
      </w:r>
      <w:r>
        <w:rPr>
          <w:rFonts w:hint="eastAsia" w:ascii="楷体_GB2312" w:hAnsi="楷体_GB2312" w:eastAsia="楷体_GB2312" w:cs="楷体_GB2312"/>
          <w:sz w:val="32"/>
          <w:szCs w:val="32"/>
          <w:highlight w:val="none"/>
          <w:lang w:val="en-US" w:eastAsia="zh-CN"/>
        </w:rPr>
        <w:t>部门（单位）</w:t>
      </w:r>
      <w:r>
        <w:rPr>
          <w:rFonts w:hint="eastAsia" w:ascii="楷体_GB2312" w:hAnsi="楷体_GB2312" w:eastAsia="楷体_GB2312" w:cs="楷体_GB2312"/>
          <w:kern w:val="2"/>
          <w:sz w:val="32"/>
          <w:szCs w:val="32"/>
          <w:highlight w:val="none"/>
          <w:lang w:val="en-US" w:eastAsia="zh-CN" w:bidi="ar-SA"/>
        </w:rPr>
        <w:t>；完成时限：12月底前）</w:t>
      </w:r>
    </w:p>
    <w:p>
      <w:pPr>
        <w:pStyle w:val="8"/>
        <w:keepNext w:val="0"/>
        <w:keepLines w:val="0"/>
        <w:pageBreakBefore w:val="0"/>
        <w:widowControl w:val="0"/>
        <w:kinsoku/>
        <w:wordWrap/>
        <w:overflowPunct/>
        <w:topLinePunct/>
        <w:autoSpaceDE/>
        <w:autoSpaceDN/>
        <w:bidi w:val="0"/>
        <w:adjustRightInd/>
        <w:snapToGrid/>
        <w:spacing w:line="240" w:lineRule="auto"/>
        <w:ind w:left="0" w:right="0" w:firstLine="632" w:firstLineChars="200"/>
        <w:jc w:val="both"/>
        <w:textAlignment w:val="auto"/>
        <w:rPr>
          <w:rFonts w:ascii="KaiTi_GB2312" w:hAnsi="KaiTi_GB2312" w:eastAsia="KaiTi_GB2312" w:cs="KaiTi_GB2312"/>
          <w:sz w:val="32"/>
          <w:szCs w:val="32"/>
        </w:rPr>
      </w:pPr>
      <w:r>
        <w:rPr>
          <w:rFonts w:hint="eastAsia" w:ascii="楷体_GB2312" w:hAnsi="楷体_GB2312" w:eastAsia="楷体_GB2312" w:cs="楷体_GB2312"/>
          <w:kern w:val="2"/>
          <w:sz w:val="32"/>
          <w:szCs w:val="32"/>
          <w:lang w:val="en-US" w:eastAsia="zh-CN" w:bidi="ar-SA"/>
        </w:rPr>
        <w:t>5.健全清理拖欠中小企业账款长效机制。</w:t>
      </w:r>
      <w:r>
        <w:rPr>
          <w:rFonts w:hint="eastAsia" w:ascii="仿宋_GB2312" w:hAnsi="Calibri" w:eastAsia="仿宋_GB2312" w:cs="Times New Roman"/>
          <w:kern w:val="2"/>
          <w:sz w:val="32"/>
          <w:szCs w:val="32"/>
          <w:lang w:val="en-US" w:eastAsia="zh-CN" w:bidi="ar-SA"/>
        </w:rPr>
        <w:t>严格落实全国违约拖欠中小企业款项登记（投诉）平台管理要求，依法依规做好拖欠中小企业账款投诉线索核实办理工作。推广清欠司法协作，依法依规保障企业合法权益。</w:t>
      </w:r>
      <w:r>
        <w:rPr>
          <w:rFonts w:hint="eastAsia" w:ascii="楷体_GB2312" w:hAnsi="楷体_GB2312" w:eastAsia="楷体_GB2312" w:cs="楷体_GB2312"/>
          <w:kern w:val="2"/>
          <w:sz w:val="32"/>
          <w:szCs w:val="32"/>
          <w:lang w:val="en-US" w:eastAsia="zh-CN" w:bidi="ar-SA"/>
        </w:rPr>
        <w:t>（责任单位：</w:t>
      </w:r>
      <w:r>
        <w:rPr>
          <w:rFonts w:hint="eastAsia" w:ascii="楷体_GB2312" w:hAnsi="楷体_GB2312" w:eastAsia="楷体_GB2312" w:cs="楷体_GB2312"/>
          <w:kern w:val="2"/>
          <w:sz w:val="32"/>
          <w:szCs w:val="32"/>
          <w:highlight w:val="none"/>
          <w:lang w:val="en-US" w:eastAsia="zh-CN" w:bidi="ar-SA"/>
        </w:rPr>
        <w:t>经发科创局</w:t>
      </w:r>
      <w:r>
        <w:rPr>
          <w:rFonts w:hint="eastAsia" w:ascii="楷体_GB2312" w:hAnsi="楷体_GB2312" w:eastAsia="楷体_GB2312" w:cs="楷体_GB2312"/>
          <w:kern w:val="2"/>
          <w:sz w:val="32"/>
          <w:szCs w:val="32"/>
          <w:lang w:val="en-US" w:eastAsia="zh-CN" w:bidi="ar-SA"/>
        </w:rPr>
        <w:t>、法院、工委政法委；完成时限：12月底前）</w:t>
      </w:r>
    </w:p>
    <w:p>
      <w:pPr>
        <w:pStyle w:val="8"/>
        <w:keepNext w:val="0"/>
        <w:keepLines w:val="0"/>
        <w:pageBreakBefore w:val="0"/>
        <w:widowControl w:val="0"/>
        <w:kinsoku/>
        <w:wordWrap/>
        <w:overflowPunct/>
        <w:topLinePunct/>
        <w:autoSpaceDE/>
        <w:autoSpaceDN/>
        <w:bidi w:val="0"/>
        <w:adjustRightInd/>
        <w:snapToGrid/>
        <w:spacing w:line="240" w:lineRule="auto"/>
        <w:ind w:left="0" w:right="0" w:firstLine="632"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6.持续统筹推进公平竞争政策实施。</w:t>
      </w:r>
      <w:r>
        <w:rPr>
          <w:rFonts w:hint="eastAsia" w:ascii="仿宋_GB2312" w:hAnsi="Calibri" w:eastAsia="仿宋_GB2312" w:cs="Times New Roman"/>
          <w:kern w:val="2"/>
          <w:sz w:val="32"/>
          <w:szCs w:val="32"/>
          <w:lang w:val="en-US" w:eastAsia="zh-CN" w:bidi="ar-SA"/>
        </w:rPr>
        <w:t>进一步压实政策制定机关审查责任落实，不断强化公平竞争审查制度刚性约束。持续清理妨碍统一市场和公平竞争的政策措施，深入推进重大政策措施公平竞争审查会审，开展公平竞争审查第三方评估，提升公平竞争审查效能。</w:t>
      </w:r>
      <w:r>
        <w:rPr>
          <w:rFonts w:hint="eastAsia" w:ascii="楷体_GB2312" w:hAnsi="楷体_GB2312" w:eastAsia="楷体_GB2312" w:cs="楷体_GB2312"/>
          <w:kern w:val="2"/>
          <w:sz w:val="32"/>
          <w:szCs w:val="32"/>
          <w:lang w:val="en-US" w:eastAsia="zh-CN" w:bidi="ar-SA"/>
        </w:rPr>
        <w:t>（责任单位：市场监管分局，</w:t>
      </w:r>
      <w:r>
        <w:rPr>
          <w:rFonts w:hint="eastAsia" w:ascii="楷体_GB2312" w:hAnsi="楷体_GB2312" w:eastAsia="楷体_GB2312" w:cs="楷体_GB2312"/>
          <w:sz w:val="32"/>
          <w:szCs w:val="32"/>
          <w:highlight w:val="none"/>
        </w:rPr>
        <w:t>有关</w:t>
      </w:r>
      <w:r>
        <w:rPr>
          <w:rFonts w:hint="eastAsia" w:ascii="楷体_GB2312" w:hAnsi="楷体_GB2312" w:eastAsia="楷体_GB2312" w:cs="楷体_GB2312"/>
          <w:sz w:val="32"/>
          <w:szCs w:val="32"/>
          <w:highlight w:val="none"/>
          <w:lang w:val="en-US" w:eastAsia="zh-CN"/>
        </w:rPr>
        <w:t>部门（单位）</w:t>
      </w:r>
      <w:r>
        <w:rPr>
          <w:rFonts w:hint="eastAsia" w:ascii="楷体_GB2312" w:hAnsi="楷体_GB2312" w:eastAsia="楷体_GB2312" w:cs="楷体_GB2312"/>
          <w:kern w:val="2"/>
          <w:sz w:val="32"/>
          <w:szCs w:val="32"/>
          <w:lang w:val="en-US" w:eastAsia="zh-CN" w:bidi="ar-SA"/>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黑体" w:hAnsi="黑体" w:eastAsia="黑体" w:cs="黑体"/>
          <w:sz w:val="32"/>
          <w:szCs w:val="32"/>
        </w:rPr>
        <w:t>二、完善依法行政制度体系</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hAnsi="Times New Roman" w:eastAsia="仿宋_GB2312" w:cs="Times New Roman"/>
          <w:color w:val="000000"/>
          <w:kern w:val="3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.进一步规范合法性审查。</w:t>
      </w:r>
      <w:r>
        <w:rPr>
          <w:rFonts w:hint="eastAsia" w:ascii="仿宋_GB2312" w:hAnsi="Times New Roman" w:eastAsia="仿宋_GB2312" w:cs="Times New Roman"/>
          <w:color w:val="000000"/>
          <w:kern w:val="32"/>
          <w:sz w:val="32"/>
          <w:szCs w:val="32"/>
        </w:rPr>
        <w:t>编制《烟台开发区2024年度重大行政决策事项目录》，</w:t>
      </w:r>
      <w:r>
        <w:rPr>
          <w:rFonts w:hint="eastAsia" w:ascii="仿宋_GB2312" w:hAnsi="Times New Roman" w:eastAsia="仿宋_GB2312" w:cs="Times New Roman"/>
          <w:color w:val="000000"/>
          <w:kern w:val="32"/>
          <w:sz w:val="32"/>
          <w:szCs w:val="32"/>
          <w:lang w:val="en-US" w:eastAsia="zh-CN"/>
        </w:rPr>
        <w:t>落实</w:t>
      </w:r>
      <w:r>
        <w:rPr>
          <w:rFonts w:hint="eastAsia" w:ascii="仿宋_GB2312" w:hAnsi="Times New Roman" w:eastAsia="仿宋_GB2312" w:cs="Times New Roman"/>
          <w:color w:val="000000"/>
          <w:kern w:val="32"/>
          <w:sz w:val="32"/>
          <w:szCs w:val="32"/>
        </w:rPr>
        <w:t>《烟台市行政规范性文件制定和监督管理办法》</w:t>
      </w:r>
      <w:r>
        <w:rPr>
          <w:rFonts w:hint="eastAsia" w:ascii="仿宋_GB2312" w:hAnsi="Times New Roman" w:eastAsia="仿宋_GB2312" w:cs="Times New Roman"/>
          <w:color w:val="000000"/>
          <w:kern w:val="32"/>
          <w:sz w:val="32"/>
          <w:szCs w:val="32"/>
          <w:lang w:val="en-US" w:eastAsia="zh-CN"/>
        </w:rPr>
        <w:t>及</w:t>
      </w:r>
      <w:r>
        <w:rPr>
          <w:rFonts w:hint="eastAsia" w:ascii="仿宋_GB2312" w:hAnsi="Times New Roman" w:eastAsia="仿宋_GB2312" w:cs="Times New Roman"/>
          <w:color w:val="000000"/>
          <w:kern w:val="32"/>
          <w:sz w:val="32"/>
          <w:szCs w:val="32"/>
          <w:lang w:eastAsia="zh-CN"/>
        </w:rPr>
        <w:t>《烟台经济技术开发区规范性文件制定办法》</w:t>
      </w:r>
      <w:r>
        <w:rPr>
          <w:rFonts w:hint="eastAsia" w:ascii="仿宋_GB2312" w:hAnsi="Times New Roman" w:eastAsia="仿宋_GB2312" w:cs="Times New Roman"/>
          <w:color w:val="000000"/>
          <w:kern w:val="32"/>
          <w:sz w:val="32"/>
          <w:szCs w:val="32"/>
        </w:rPr>
        <w:t>，加大合法性审查业务指导。</w:t>
      </w:r>
      <w:r>
        <w:rPr>
          <w:rFonts w:hint="eastAsia" w:ascii="仿宋_GB2312" w:hAnsi="Times New Roman" w:eastAsia="仿宋_GB2312" w:cs="Times New Roman"/>
          <w:color w:val="000000"/>
          <w:kern w:val="32"/>
          <w:sz w:val="32"/>
          <w:szCs w:val="32"/>
          <w:lang w:val="en-US" w:eastAsia="zh-CN"/>
        </w:rPr>
        <w:t>指导督促各街道（镇）落实</w:t>
      </w:r>
      <w:r>
        <w:rPr>
          <w:rFonts w:hint="eastAsia" w:ascii="仿宋_GB2312" w:hAnsi="Times New Roman" w:eastAsia="仿宋_GB2312" w:cs="Times New Roman"/>
          <w:color w:val="000000"/>
          <w:kern w:val="32"/>
          <w:sz w:val="32"/>
          <w:szCs w:val="32"/>
        </w:rPr>
        <w:t>《烟台市乡镇（街道）合法性审查工作规范化建设标准》，推动</w:t>
      </w:r>
      <w:r>
        <w:rPr>
          <w:rFonts w:hint="eastAsia" w:ascii="仿宋_GB2312" w:hAnsi="Times New Roman" w:eastAsia="仿宋_GB2312" w:cs="Times New Roman"/>
          <w:color w:val="000000"/>
          <w:kern w:val="32"/>
          <w:sz w:val="32"/>
          <w:szCs w:val="32"/>
          <w:lang w:val="en-US" w:eastAsia="zh-CN"/>
        </w:rPr>
        <w:t>各街道（镇）实现</w:t>
      </w:r>
      <w:r>
        <w:rPr>
          <w:rFonts w:hint="eastAsia" w:ascii="仿宋_GB2312" w:hAnsi="Times New Roman" w:eastAsia="仿宋_GB2312" w:cs="Times New Roman"/>
          <w:color w:val="000000"/>
          <w:kern w:val="32"/>
          <w:sz w:val="32"/>
          <w:szCs w:val="32"/>
        </w:rPr>
        <w:t>合法性审查全覆盖。全面落实法律顾问和公职律师制度，推动健全合法性审查机制。</w:t>
      </w:r>
      <w:r>
        <w:rPr>
          <w:rFonts w:hint="eastAsia" w:ascii="楷体_GB2312" w:hAnsi="楷体_GB2312" w:eastAsia="楷体_GB2312" w:cs="楷体_GB2312"/>
          <w:color w:val="000000"/>
          <w:kern w:val="32"/>
          <w:sz w:val="32"/>
          <w:szCs w:val="32"/>
        </w:rPr>
        <w:t>（责任单位：工委办公室，各</w:t>
      </w:r>
      <w:r>
        <w:rPr>
          <w:rFonts w:hint="eastAsia" w:ascii="楷体_GB2312" w:hAnsi="楷体" w:eastAsia="楷体_GB2312" w:cs="Times New Roman"/>
          <w:color w:val="000000"/>
          <w:kern w:val="32"/>
          <w:sz w:val="32"/>
          <w:szCs w:val="32"/>
        </w:rPr>
        <w:t>街道（镇）</w:t>
      </w:r>
      <w:r>
        <w:rPr>
          <w:rFonts w:hint="eastAsia" w:ascii="楷体_GB2312" w:hAnsi="楷体_GB2312" w:eastAsia="楷体_GB2312" w:cs="楷体_GB2312"/>
          <w:kern w:val="2"/>
          <w:sz w:val="32"/>
          <w:szCs w:val="32"/>
          <w:lang w:val="en-US" w:eastAsia="zh-CN" w:bidi="ar-SA"/>
        </w:rPr>
        <w:t>；</w:t>
      </w:r>
      <w:r>
        <w:rPr>
          <w:rFonts w:hint="eastAsia" w:ascii="楷体_GB2312" w:hAnsi="楷体" w:eastAsia="楷体_GB2312" w:cs="Times New Roman"/>
          <w:color w:val="000000"/>
          <w:kern w:val="32"/>
          <w:sz w:val="32"/>
          <w:szCs w:val="32"/>
        </w:rPr>
        <w:t>完成时限：12月底前</w:t>
      </w:r>
      <w:r>
        <w:rPr>
          <w:rFonts w:hint="eastAsia" w:ascii="楷体_GB2312" w:hAnsi="楷体_GB2312" w:eastAsia="楷体_GB2312" w:cs="楷体_GB2312"/>
          <w:color w:val="000000"/>
          <w:kern w:val="32"/>
          <w:sz w:val="32"/>
          <w:szCs w:val="32"/>
        </w:rPr>
        <w:t>）</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pacing w:val="4"/>
          <w:sz w:val="32"/>
          <w:szCs w:val="32"/>
        </w:rPr>
        <w:t>全面推进严格规范公正文明执法</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楷体_GB2312" w:hAnsi="楷体_GB2312" w:eastAsia="楷体_GB2312" w:cs="楷体_GB2312"/>
          <w:color w:val="000000"/>
          <w:kern w:val="3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.完善行政执法工作体制。</w:t>
      </w:r>
      <w:r>
        <w:rPr>
          <w:rFonts w:hint="eastAsia" w:ascii="仿宋_GB2312" w:hAnsi="Times New Roman" w:eastAsia="仿宋_GB2312" w:cs="Times New Roman"/>
          <w:color w:val="000000"/>
          <w:kern w:val="32"/>
          <w:sz w:val="32"/>
          <w:szCs w:val="32"/>
        </w:rPr>
        <w:t>进一步理顺职责、整合队伍、减少层级，推动执法力量下沉。加强行业主管部门与综合行政执法队伍协同配合，推动行业监管和综合行政执法有效衔接、一体服务。</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工委组织部</w:t>
      </w:r>
      <w:r>
        <w:rPr>
          <w:rFonts w:hint="eastAsia" w:ascii="楷体_GB2312" w:hAnsi="楷体_GB2312" w:eastAsia="楷体_GB2312" w:cs="楷体_GB2312"/>
          <w:color w:val="000000"/>
          <w:kern w:val="32"/>
          <w:sz w:val="32"/>
          <w:szCs w:val="32"/>
        </w:rPr>
        <w:t>、</w:t>
      </w:r>
      <w:r>
        <w:rPr>
          <w:rFonts w:hint="eastAsia" w:ascii="楷体_GB2312" w:hAnsi="楷体_GB2312" w:eastAsia="楷体_GB2312" w:cs="楷体_GB2312"/>
          <w:color w:val="000000"/>
          <w:kern w:val="32"/>
          <w:sz w:val="32"/>
          <w:szCs w:val="32"/>
          <w:lang w:val="en-US" w:eastAsia="zh-CN"/>
        </w:rPr>
        <w:t>工委政法委</w:t>
      </w:r>
      <w:r>
        <w:rPr>
          <w:rFonts w:hint="eastAsia" w:ascii="楷体_GB2312" w:hAnsi="楷体_GB2312" w:eastAsia="楷体_GB2312" w:cs="楷体_GB2312"/>
          <w:color w:val="000000"/>
          <w:kern w:val="32"/>
          <w:sz w:val="32"/>
          <w:szCs w:val="32"/>
        </w:rPr>
        <w:t>，</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color w:val="000000"/>
          <w:kern w:val="3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.提升行政执法规范化水平。</w:t>
      </w:r>
      <w:r>
        <w:rPr>
          <w:rFonts w:hint="eastAsia" w:ascii="仿宋_GB2312" w:hAnsi="Times New Roman" w:eastAsia="仿宋_GB2312" w:cs="Times New Roman"/>
          <w:color w:val="000000"/>
          <w:kern w:val="32"/>
          <w:sz w:val="32"/>
          <w:szCs w:val="32"/>
        </w:rPr>
        <w:t>贯彻落实《国务院办公厅关于印发&lt;提升行政执法质量三年行动计划（2023—2025年）&gt;的通知》（国办发〔2023〕27号）。组织开展行政执法领域突出问题专项整治暨行政执法能力专项提升行动，加强教育培训，开展行政执法案卷评查，提升案卷质量。</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工委政法委</w:t>
      </w:r>
      <w:r>
        <w:rPr>
          <w:rFonts w:hint="eastAsia" w:ascii="楷体_GB2312" w:hAnsi="楷体_GB2312" w:eastAsia="楷体_GB2312" w:cs="楷体_GB2312"/>
          <w:color w:val="000000"/>
          <w:kern w:val="32"/>
          <w:sz w:val="32"/>
          <w:szCs w:val="32"/>
        </w:rPr>
        <w:t>，</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default" w:ascii="楷体_GB2312" w:hAnsi="楷体_GB2312" w:eastAsia="楷体_GB2312" w:cs="楷体_GB2312"/>
          <w:color w:val="000000"/>
          <w:kern w:val="32"/>
          <w:sz w:val="32"/>
          <w:szCs w:val="32"/>
          <w:lang w:val="en-US" w:eastAsia="zh-CN"/>
        </w:rPr>
      </w:pPr>
      <w:r>
        <w:rPr>
          <w:rFonts w:hint="eastAsia" w:ascii="楷体_GB2312" w:hAnsi="楷体_GB2312" w:eastAsia="楷体_GB2312" w:cs="楷体_GB2312"/>
          <w:color w:val="000000"/>
          <w:kern w:val="32"/>
          <w:sz w:val="32"/>
          <w:szCs w:val="32"/>
          <w:lang w:val="en-US" w:eastAsia="zh-CN"/>
        </w:rPr>
        <w:t>10.深化重点行业领域专项整治。</w:t>
      </w:r>
      <w:r>
        <w:rPr>
          <w:rFonts w:hint="eastAsia" w:ascii="仿宋_GB2312" w:hAnsi="Times New Roman" w:eastAsia="仿宋_GB2312" w:cs="Times New Roman"/>
          <w:color w:val="000000"/>
          <w:kern w:val="32"/>
          <w:sz w:val="32"/>
          <w:szCs w:val="32"/>
          <w:lang w:val="en-US" w:eastAsia="zh-CN"/>
        </w:rPr>
        <w:t>深入打好蓝天、碧水、净土保卫战，抓好中央、省环保督察反馈问题整改。实施县域“母亲河”全流域治理，严格海洋空间管控治理，分类实施陆海污染源头治理。开展学校周边交通拥堵治理。开展食品安全“你点我检”活动，保障食品药品质量安全。加强地方金融组织监管，在市场准入、审慎监管、行为监管等各个环节严格执法，实现金融监管横向到边、纵向到底。</w:t>
      </w:r>
      <w:r>
        <w:rPr>
          <w:rFonts w:hint="eastAsia" w:ascii="楷体_GB2312" w:hAnsi="楷体_GB2312" w:eastAsia="楷体_GB2312" w:cs="楷体_GB2312"/>
          <w:color w:val="000000"/>
          <w:kern w:val="32"/>
          <w:sz w:val="32"/>
          <w:szCs w:val="32"/>
          <w:lang w:val="en-US" w:eastAsia="zh-CN"/>
        </w:rPr>
        <w:t>（责任单位：生态环境分局、海洋发展局、教育分局、公安分局、建设交通局、市场监管分局、财政金融局；完成时限：12月底前）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黑体" w:hAnsi="黑体" w:eastAsia="黑体" w:cs="黑体"/>
          <w:sz w:val="32"/>
          <w:szCs w:val="32"/>
        </w:rPr>
        <w:t>四、</w:t>
      </w:r>
      <w:r>
        <w:rPr>
          <w:rFonts w:ascii="黑体" w:hAnsi="黑体" w:eastAsia="黑体" w:cs="黑体"/>
          <w:spacing w:val="3"/>
          <w:sz w:val="32"/>
          <w:szCs w:val="32"/>
        </w:rPr>
        <w:t>依法预防应对突发事件</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sz w:val="32"/>
          <w:szCs w:val="32"/>
          <w:lang w:val="en-US" w:eastAsia="zh-CN"/>
        </w:rPr>
      </w:pPr>
      <w:r>
        <w:rPr>
          <w:rFonts w:hint="eastAsia" w:ascii="楷体_GB2312" w:hAnsi="楷体_GB2312" w:eastAsia="楷体_GB2312" w:cs="楷体_GB2312"/>
          <w:color w:val="000000"/>
          <w:kern w:val="32"/>
          <w:sz w:val="32"/>
          <w:szCs w:val="32"/>
        </w:rPr>
        <w:t>1</w:t>
      </w:r>
      <w:r>
        <w:rPr>
          <w:rFonts w:ascii="楷体_GB2312" w:hAnsi="楷体_GB2312" w:eastAsia="楷体_GB2312" w:cs="楷体_GB2312"/>
          <w:color w:val="000000"/>
          <w:kern w:val="32"/>
          <w:sz w:val="32"/>
          <w:szCs w:val="32"/>
        </w:rPr>
        <w:t>1</w:t>
      </w:r>
      <w:r>
        <w:rPr>
          <w:rFonts w:hint="eastAsia" w:ascii="楷体_GB2312" w:hAnsi="楷体_GB2312" w:eastAsia="楷体_GB2312" w:cs="楷体_GB2312"/>
          <w:color w:val="000000"/>
          <w:kern w:val="32"/>
          <w:sz w:val="32"/>
          <w:szCs w:val="32"/>
        </w:rPr>
        <w:t>.抓紧抓实安全生产工作。</w:t>
      </w:r>
      <w:r>
        <w:rPr>
          <w:rFonts w:hint="eastAsia" w:ascii="仿宋_GB2312" w:hAnsi="Times New Roman" w:eastAsia="仿宋_GB2312" w:cs="Times New Roman"/>
          <w:color w:val="000000"/>
          <w:kern w:val="32"/>
          <w:sz w:val="32"/>
          <w:szCs w:val="32"/>
        </w:rPr>
        <w:t>全面开展安全生产治本攻坚三年行动，深化重点行业领域安全监管，实施工程性、项目性治理措施，推动构建安全生产系统治理新格局。</w:t>
      </w:r>
      <w:r>
        <w:rPr>
          <w:rFonts w:hint="eastAsia" w:ascii="楷体_GB2312" w:hAnsi="楷体_GB2312" w:eastAsia="楷体_GB2312" w:cs="楷体_GB2312"/>
          <w:color w:val="000000"/>
          <w:kern w:val="32"/>
          <w:sz w:val="32"/>
          <w:szCs w:val="32"/>
        </w:rPr>
        <w:t>（责任单位：应急</w:t>
      </w:r>
      <w:r>
        <w:rPr>
          <w:rFonts w:hint="eastAsia" w:ascii="楷体_GB2312" w:hAnsi="楷体_GB2312" w:eastAsia="楷体_GB2312" w:cs="楷体_GB2312"/>
          <w:color w:val="000000"/>
          <w:kern w:val="32"/>
          <w:sz w:val="32"/>
          <w:szCs w:val="32"/>
          <w:lang w:val="en-US" w:eastAsia="zh-CN"/>
        </w:rPr>
        <w:t>分</w:t>
      </w:r>
      <w:r>
        <w:rPr>
          <w:rFonts w:hint="eastAsia" w:ascii="楷体_GB2312" w:hAnsi="楷体_GB2312" w:eastAsia="楷体_GB2312" w:cs="楷体_GB2312"/>
          <w:color w:val="000000"/>
          <w:kern w:val="32"/>
          <w:sz w:val="32"/>
          <w:szCs w:val="32"/>
        </w:rPr>
        <w:t>局，</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kern w:val="32"/>
          <w:sz w:val="32"/>
          <w:szCs w:val="32"/>
          <w:lang w:val="en-US" w:eastAsia="zh-CN"/>
        </w:rPr>
        <w:t>12.</w:t>
      </w:r>
      <w:r>
        <w:rPr>
          <w:rFonts w:hint="eastAsia" w:ascii="楷体_GB2312" w:hAnsi="楷体_GB2312" w:eastAsia="楷体_GB2312" w:cs="楷体_GB2312"/>
          <w:color w:val="000000"/>
          <w:kern w:val="32"/>
          <w:sz w:val="32"/>
          <w:szCs w:val="32"/>
        </w:rPr>
        <w:t>加强安全生产信用监管</w:t>
      </w:r>
      <w:r>
        <w:rPr>
          <w:rFonts w:hint="eastAsia" w:ascii="楷体_GB2312" w:hAnsi="楷体_GB2312" w:eastAsia="楷体_GB2312" w:cs="楷体_GB2312"/>
          <w:color w:val="000000"/>
          <w:kern w:val="32"/>
          <w:sz w:val="32"/>
          <w:szCs w:val="32"/>
          <w:lang w:eastAsia="zh-CN"/>
        </w:rPr>
        <w:t>。</w:t>
      </w:r>
      <w:r>
        <w:rPr>
          <w:rFonts w:hint="eastAsia" w:ascii="仿宋_GB2312" w:hAnsi="Times New Roman" w:eastAsia="仿宋_GB2312" w:cs="Times New Roman"/>
          <w:color w:val="000000"/>
          <w:kern w:val="32"/>
          <w:sz w:val="32"/>
          <w:szCs w:val="32"/>
        </w:rPr>
        <w:t>认真贯彻执行《安全生产严重失信主体名单管理办法》（应急管理部令第11号），严格把好失信主体名单的“出入口”，实现“应纳尽纳、应退尽退”；严格落实《山东省应急管理厅关于印发&lt;山东省安全生产行政处罚信息公示修复管理办法&gt;的通知》（鲁应急发〔2024〕2号），推动行政处罚决定和行政处罚信息信用修复告知“两书同达”，引导行政相对人及时修复行政处罚公示信息，主动助企纾困，营造良好营商环境</w:t>
      </w:r>
      <w:r>
        <w:rPr>
          <w:rFonts w:hint="eastAsia" w:ascii="仿宋_GB2312" w:hAnsi="Times New Roman" w:eastAsia="仿宋_GB2312" w:cs="Times New Roman"/>
          <w:color w:val="000000"/>
          <w:kern w:val="32"/>
          <w:sz w:val="32"/>
          <w:szCs w:val="32"/>
          <w:lang w:eastAsia="zh-CN"/>
        </w:rPr>
        <w:t>。</w:t>
      </w:r>
      <w:r>
        <w:rPr>
          <w:rFonts w:hint="eastAsia" w:ascii="楷体_GB2312" w:hAnsi="楷体_GB2312" w:eastAsia="楷体_GB2312" w:cs="楷体_GB2312"/>
          <w:sz w:val="32"/>
          <w:szCs w:val="32"/>
          <w:lang w:val="en-US" w:eastAsia="zh-CN"/>
        </w:rPr>
        <w:t>（责任单位：应急分局；完成时限：12月底前）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kern w:val="32"/>
          <w:sz w:val="32"/>
          <w:szCs w:val="32"/>
          <w:lang w:val="en-US" w:eastAsia="zh-CN"/>
        </w:rPr>
        <w:t>13.</w:t>
      </w:r>
      <w:r>
        <w:rPr>
          <w:rFonts w:hint="eastAsia" w:ascii="楷体_GB2312" w:hAnsi="楷体_GB2312" w:eastAsia="楷体_GB2312" w:cs="楷体_GB2312"/>
          <w:color w:val="000000"/>
          <w:kern w:val="32"/>
          <w:sz w:val="32"/>
          <w:szCs w:val="32"/>
        </w:rPr>
        <w:t>健全突发事件应对体系</w:t>
      </w:r>
      <w:r>
        <w:rPr>
          <w:rFonts w:hint="eastAsia" w:ascii="楷体_GB2312" w:hAnsi="楷体_GB2312" w:eastAsia="楷体_GB2312" w:cs="楷体_GB2312"/>
          <w:color w:val="000000"/>
          <w:kern w:val="32"/>
          <w:sz w:val="32"/>
          <w:szCs w:val="32"/>
          <w:lang w:eastAsia="zh-CN"/>
        </w:rPr>
        <w:t>。</w:t>
      </w:r>
      <w:r>
        <w:rPr>
          <w:rFonts w:hint="eastAsia" w:ascii="仿宋_GB2312" w:hAnsi="Times New Roman" w:eastAsia="仿宋_GB2312" w:cs="Times New Roman"/>
          <w:color w:val="000000"/>
          <w:kern w:val="32"/>
          <w:sz w:val="32"/>
          <w:szCs w:val="32"/>
        </w:rPr>
        <w:t>健全海洋生态灾害预警体系，加强绿潮赤潮监测，强化溢油风险防控。完善海上安全协调联动机制，常态化开展“三无”船舶整治，清理海上非法养殖，构建海上大安全大应急格局。防范化解金融、地方债务、房地产等领域风险，坚决守住不发生系统性风险底线</w:t>
      </w:r>
      <w:r>
        <w:rPr>
          <w:rFonts w:hint="eastAsia" w:ascii="仿宋_GB2312" w:hAnsi="Times New Roman" w:eastAsia="仿宋_GB2312" w:cs="Times New Roman"/>
          <w:color w:val="000000"/>
          <w:kern w:val="32"/>
          <w:sz w:val="32"/>
          <w:szCs w:val="32"/>
          <w:lang w:eastAsia="zh-CN"/>
        </w:rPr>
        <w:t>。</w:t>
      </w:r>
      <w:r>
        <w:rPr>
          <w:rFonts w:hint="eastAsia" w:ascii="楷体_GB2312" w:hAnsi="楷体_GB2312" w:eastAsia="楷体_GB2312" w:cs="楷体_GB2312"/>
          <w:sz w:val="32"/>
          <w:szCs w:val="32"/>
          <w:lang w:val="en-US" w:eastAsia="zh-CN"/>
        </w:rPr>
        <w:t>（责任单位：</w:t>
      </w:r>
      <w:r>
        <w:rPr>
          <w:rFonts w:hint="eastAsia" w:ascii="楷体_GB2312" w:hAnsi="楷体_GB2312" w:eastAsia="楷体_GB2312" w:cs="楷体_GB2312"/>
          <w:color w:val="000000"/>
          <w:kern w:val="32"/>
          <w:sz w:val="32"/>
          <w:szCs w:val="32"/>
          <w:lang w:val="en-US" w:eastAsia="zh-CN"/>
        </w:rPr>
        <w:t>海洋发展局</w:t>
      </w:r>
      <w:r>
        <w:rPr>
          <w:rFonts w:hint="eastAsia" w:ascii="楷体_GB2312" w:hAnsi="楷体_GB2312" w:eastAsia="楷体_GB2312" w:cs="楷体_GB2312"/>
          <w:sz w:val="32"/>
          <w:szCs w:val="32"/>
          <w:lang w:val="en-US" w:eastAsia="zh-CN"/>
        </w:rPr>
        <w:t>、八角海事处、财政金融局、建设交通局，各街道（镇）；完成时限：12月底前）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hAnsi="Times New Roman" w:eastAsia="仿宋_GB2312" w:cs="Times New Roman"/>
          <w:color w:val="000000"/>
          <w:kern w:val="32"/>
          <w:sz w:val="32"/>
          <w:szCs w:val="32"/>
        </w:rPr>
      </w:pPr>
      <w:r>
        <w:rPr>
          <w:rFonts w:hint="eastAsia" w:ascii="黑体" w:hAnsi="黑体" w:eastAsia="黑体" w:cs="黑体"/>
          <w:color w:val="000000"/>
          <w:kern w:val="32"/>
          <w:sz w:val="32"/>
          <w:szCs w:val="32"/>
          <w:lang w:val="en-US" w:eastAsia="zh-CN"/>
        </w:rPr>
        <w:t>五</w:t>
      </w:r>
      <w:r>
        <w:rPr>
          <w:rFonts w:hint="eastAsia" w:ascii="黑体" w:hAnsi="黑体" w:eastAsia="黑体" w:cs="黑体"/>
          <w:color w:val="000000"/>
          <w:kern w:val="32"/>
          <w:sz w:val="32"/>
          <w:szCs w:val="32"/>
        </w:rPr>
        <w:t>、</w:t>
      </w:r>
      <w:r>
        <w:rPr>
          <w:rFonts w:ascii="黑体" w:hAnsi="黑体" w:eastAsia="黑体" w:cs="黑体"/>
          <w:spacing w:val="4"/>
          <w:sz w:val="32"/>
          <w:szCs w:val="32"/>
          <w:highlight w:val="none"/>
        </w:rPr>
        <w:t>有效调处化解矛盾纠纷</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楷体_GB2312" w:hAnsi="楷体_GB2312" w:eastAsia="楷体_GB2312" w:cs="楷体_GB2312"/>
          <w:color w:val="000000"/>
          <w:kern w:val="32"/>
          <w:sz w:val="32"/>
          <w:szCs w:val="32"/>
        </w:rPr>
      </w:pPr>
      <w:r>
        <w:rPr>
          <w:rFonts w:hint="eastAsia" w:ascii="楷体_GB2312" w:hAnsi="楷体_GB2312" w:eastAsia="楷体_GB2312" w:cs="楷体_GB2312"/>
          <w:color w:val="000000"/>
          <w:kern w:val="32"/>
          <w:sz w:val="32"/>
          <w:szCs w:val="32"/>
          <w:lang w:val="en-US" w:eastAsia="zh-CN"/>
        </w:rPr>
        <w:t>14</w:t>
      </w:r>
      <w:r>
        <w:rPr>
          <w:rFonts w:hint="eastAsia" w:ascii="楷体_GB2312" w:hAnsi="楷体_GB2312" w:eastAsia="楷体_GB2312" w:cs="楷体_GB2312"/>
          <w:color w:val="000000"/>
          <w:kern w:val="32"/>
          <w:sz w:val="32"/>
          <w:szCs w:val="32"/>
        </w:rPr>
        <w:t>.推动行政争议实质性化解。</w:t>
      </w:r>
      <w:r>
        <w:rPr>
          <w:rFonts w:hint="eastAsia" w:ascii="仿宋_GB2312" w:hAnsi="Times New Roman" w:eastAsia="仿宋_GB2312" w:cs="Times New Roman"/>
          <w:color w:val="000000"/>
          <w:kern w:val="32"/>
          <w:sz w:val="32"/>
          <w:szCs w:val="32"/>
        </w:rPr>
        <w:t>建立旁听庭审观摩联络员制度，常态化开展国家工作人员旁听庭审。召开府院联席会议，推动行政复议与行政诉讼协同衔接，深化行政争议诉源治理。</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工委办公室</w:t>
      </w:r>
      <w:r>
        <w:rPr>
          <w:rFonts w:hint="eastAsia" w:ascii="楷体_GB2312" w:hAnsi="楷体_GB2312" w:eastAsia="楷体_GB2312" w:cs="楷体_GB2312"/>
          <w:color w:val="000000"/>
          <w:kern w:val="32"/>
          <w:sz w:val="32"/>
          <w:szCs w:val="32"/>
        </w:rPr>
        <w:t>、法院；完成时限：12月底前）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color w:val="auto"/>
          <w:kern w:val="32"/>
          <w:sz w:val="32"/>
          <w:szCs w:val="32"/>
          <w:highlight w:val="none"/>
          <w:lang w:eastAsia="zh-CN"/>
        </w:rPr>
      </w:pPr>
      <w:r>
        <w:rPr>
          <w:rFonts w:hint="eastAsia" w:ascii="楷体_GB2312" w:hAnsi="楷体_GB2312" w:eastAsia="楷体_GB2312" w:cs="楷体_GB2312"/>
          <w:color w:val="auto"/>
          <w:kern w:val="32"/>
          <w:sz w:val="32"/>
          <w:szCs w:val="32"/>
          <w:highlight w:val="none"/>
        </w:rPr>
        <w:t>1</w:t>
      </w:r>
      <w:r>
        <w:rPr>
          <w:rFonts w:hint="eastAsia" w:ascii="楷体_GB2312" w:hAnsi="楷体_GB2312" w:eastAsia="楷体_GB2312" w:cs="楷体_GB2312"/>
          <w:color w:val="auto"/>
          <w:kern w:val="32"/>
          <w:sz w:val="32"/>
          <w:szCs w:val="32"/>
          <w:highlight w:val="none"/>
          <w:lang w:val="en-US" w:eastAsia="zh-CN"/>
        </w:rPr>
        <w:t>5</w:t>
      </w:r>
      <w:r>
        <w:rPr>
          <w:rFonts w:hint="eastAsia" w:ascii="楷体_GB2312" w:hAnsi="楷体_GB2312" w:eastAsia="楷体_GB2312" w:cs="楷体_GB2312"/>
          <w:color w:val="auto"/>
          <w:kern w:val="32"/>
          <w:sz w:val="32"/>
          <w:szCs w:val="32"/>
          <w:highlight w:val="none"/>
        </w:rPr>
        <w:t>.积极发挥调解解纷功能。</w:t>
      </w:r>
      <w:r>
        <w:rPr>
          <w:rFonts w:hint="eastAsia" w:ascii="仿宋_GB2312" w:hAnsi="Times New Roman" w:eastAsia="仿宋_GB2312" w:cs="Times New Roman"/>
          <w:color w:val="auto"/>
          <w:kern w:val="32"/>
          <w:sz w:val="32"/>
          <w:szCs w:val="32"/>
          <w:highlight w:val="none"/>
        </w:rPr>
        <w:t>贯彻落实省</w:t>
      </w:r>
      <w:r>
        <w:rPr>
          <w:rFonts w:hint="eastAsia" w:ascii="仿宋_GB2312" w:hAnsi="Times New Roman" w:eastAsia="仿宋_GB2312" w:cs="Times New Roman"/>
          <w:color w:val="auto"/>
          <w:kern w:val="32"/>
          <w:sz w:val="32"/>
          <w:szCs w:val="32"/>
          <w:highlight w:val="none"/>
          <w:lang w:eastAsia="zh-CN"/>
        </w:rPr>
        <w:t>、</w:t>
      </w:r>
      <w:r>
        <w:rPr>
          <w:rFonts w:hint="eastAsia" w:ascii="仿宋_GB2312" w:hAnsi="Times New Roman" w:eastAsia="仿宋_GB2312" w:cs="Times New Roman"/>
          <w:color w:val="auto"/>
          <w:kern w:val="32"/>
          <w:sz w:val="32"/>
          <w:szCs w:val="32"/>
          <w:highlight w:val="none"/>
          <w:lang w:val="en-US" w:eastAsia="zh-CN"/>
        </w:rPr>
        <w:t>市</w:t>
      </w:r>
      <w:r>
        <w:rPr>
          <w:rFonts w:hint="eastAsia" w:ascii="仿宋_GB2312" w:hAnsi="Times New Roman" w:eastAsia="仿宋_GB2312" w:cs="Times New Roman"/>
          <w:color w:val="auto"/>
          <w:kern w:val="32"/>
          <w:sz w:val="32"/>
          <w:szCs w:val="32"/>
          <w:highlight w:val="none"/>
        </w:rPr>
        <w:t>全面推进行政调解工作实施方案，推动行业性专业性调解工作创新发展，有序推进商事调解组织建设。</w:t>
      </w:r>
      <w:r>
        <w:rPr>
          <w:rFonts w:hint="eastAsia" w:ascii="仿宋_GB2312" w:hAnsi="Times New Roman" w:eastAsia="仿宋_GB2312" w:cs="Times New Roman"/>
          <w:color w:val="auto"/>
          <w:kern w:val="32"/>
          <w:sz w:val="32"/>
          <w:szCs w:val="32"/>
          <w:highlight w:val="none"/>
          <w:lang w:val="en-US" w:eastAsia="zh-CN"/>
        </w:rPr>
        <w:t>配合上级</w:t>
      </w:r>
      <w:r>
        <w:rPr>
          <w:rFonts w:hint="eastAsia" w:ascii="仿宋_GB2312" w:hAnsi="Times New Roman" w:eastAsia="仿宋_GB2312" w:cs="Times New Roman"/>
          <w:color w:val="auto"/>
          <w:kern w:val="32"/>
          <w:sz w:val="32"/>
          <w:szCs w:val="32"/>
          <w:highlight w:val="none"/>
        </w:rPr>
        <w:t>完成首批三级、四级人民调解员评定。</w:t>
      </w:r>
      <w:r>
        <w:rPr>
          <w:rFonts w:hint="eastAsia" w:ascii="楷体_GB2312" w:hAnsi="楷体_GB2312" w:eastAsia="楷体_GB2312" w:cs="楷体_GB2312"/>
          <w:color w:val="auto"/>
          <w:kern w:val="32"/>
          <w:sz w:val="32"/>
          <w:szCs w:val="32"/>
          <w:highlight w:val="none"/>
        </w:rPr>
        <w:t>（责任单位：</w:t>
      </w:r>
      <w:r>
        <w:rPr>
          <w:rFonts w:hint="eastAsia" w:ascii="楷体_GB2312" w:hAnsi="楷体_GB2312" w:eastAsia="楷体_GB2312" w:cs="楷体_GB2312"/>
          <w:color w:val="auto"/>
          <w:kern w:val="32"/>
          <w:sz w:val="32"/>
          <w:szCs w:val="32"/>
          <w:highlight w:val="none"/>
          <w:lang w:val="en-US" w:eastAsia="zh-CN"/>
        </w:rPr>
        <w:t>工委政法委</w:t>
      </w:r>
      <w:r>
        <w:rPr>
          <w:rFonts w:hint="eastAsia" w:ascii="楷体_GB2312" w:hAnsi="楷体_GB2312" w:eastAsia="楷体_GB2312" w:cs="楷体_GB2312"/>
          <w:color w:val="auto"/>
          <w:kern w:val="32"/>
          <w:sz w:val="32"/>
          <w:szCs w:val="32"/>
          <w:highlight w:val="none"/>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楷体_GB2312" w:hAnsi="楷体_GB2312" w:eastAsia="楷体_GB2312" w:cs="楷体_GB2312"/>
          <w:color w:val="auto"/>
          <w:kern w:val="32"/>
          <w:sz w:val="32"/>
          <w:szCs w:val="32"/>
          <w:highlight w:val="none"/>
        </w:rPr>
      </w:pPr>
      <w:r>
        <w:rPr>
          <w:rFonts w:hint="eastAsia" w:ascii="楷体_GB2312" w:hAnsi="楷体_GB2312" w:eastAsia="楷体_GB2312" w:cs="楷体_GB2312"/>
          <w:color w:val="auto"/>
          <w:kern w:val="32"/>
          <w:sz w:val="32"/>
          <w:szCs w:val="32"/>
          <w:highlight w:val="none"/>
        </w:rPr>
        <w:t>1</w:t>
      </w:r>
      <w:r>
        <w:rPr>
          <w:rFonts w:hint="eastAsia" w:ascii="楷体_GB2312" w:hAnsi="楷体_GB2312" w:eastAsia="楷体_GB2312" w:cs="楷体_GB2312"/>
          <w:color w:val="auto"/>
          <w:kern w:val="32"/>
          <w:sz w:val="32"/>
          <w:szCs w:val="32"/>
          <w:highlight w:val="none"/>
          <w:lang w:val="en-US" w:eastAsia="zh-CN"/>
        </w:rPr>
        <w:t>6</w:t>
      </w:r>
      <w:r>
        <w:rPr>
          <w:rFonts w:hint="eastAsia" w:ascii="楷体_GB2312" w:hAnsi="楷体_GB2312" w:eastAsia="楷体_GB2312" w:cs="楷体_GB2312"/>
          <w:color w:val="auto"/>
          <w:kern w:val="32"/>
          <w:sz w:val="32"/>
          <w:szCs w:val="32"/>
          <w:highlight w:val="none"/>
        </w:rPr>
        <w:t>.全面推进信访工作法治化。</w:t>
      </w:r>
      <w:r>
        <w:rPr>
          <w:rFonts w:hint="eastAsia" w:ascii="仿宋_GB2312" w:hAnsi="Times New Roman" w:eastAsia="仿宋_GB2312" w:cs="Times New Roman"/>
          <w:color w:val="auto"/>
          <w:kern w:val="32"/>
          <w:sz w:val="32"/>
          <w:szCs w:val="32"/>
          <w:highlight w:val="none"/>
        </w:rPr>
        <w:t>全面推广信访工作法治化“路线图”和依法依规信访“路线图”的使用。注重信访工作行为和群众信访行为“双向规范”，坚持防范化解风险、守牢安全</w:t>
      </w:r>
      <w:r>
        <w:rPr>
          <w:rFonts w:hint="eastAsia" w:ascii="仿宋_GB2312" w:hAnsi="Times New Roman" w:eastAsia="仿宋_GB2312" w:cs="Times New Roman"/>
          <w:color w:val="auto"/>
          <w:kern w:val="32"/>
          <w:sz w:val="32"/>
          <w:szCs w:val="32"/>
          <w:highlight w:val="none"/>
          <w:lang w:eastAsia="zh-CN"/>
        </w:rPr>
        <w:t>底线</w:t>
      </w:r>
      <w:r>
        <w:rPr>
          <w:rFonts w:hint="eastAsia" w:ascii="仿宋_GB2312" w:hAnsi="Times New Roman" w:eastAsia="仿宋_GB2312" w:cs="Times New Roman"/>
          <w:color w:val="auto"/>
          <w:kern w:val="32"/>
          <w:sz w:val="32"/>
          <w:szCs w:val="32"/>
          <w:highlight w:val="none"/>
        </w:rPr>
        <w:t>，推进信访工作依法开展，确保信访问题依法处理、信访秩序依法维护。</w:t>
      </w:r>
      <w:r>
        <w:rPr>
          <w:rFonts w:hint="eastAsia" w:ascii="楷体_GB2312" w:hAnsi="楷体_GB2312" w:eastAsia="楷体_GB2312" w:cs="楷体_GB2312"/>
          <w:color w:val="auto"/>
          <w:kern w:val="32"/>
          <w:sz w:val="32"/>
          <w:szCs w:val="32"/>
          <w:highlight w:val="none"/>
        </w:rPr>
        <w:t>（责任单位：</w:t>
      </w:r>
      <w:r>
        <w:rPr>
          <w:rFonts w:hint="eastAsia" w:ascii="楷体_GB2312" w:hAnsi="楷体_GB2312" w:eastAsia="楷体_GB2312" w:cs="楷体_GB2312"/>
          <w:color w:val="auto"/>
          <w:kern w:val="32"/>
          <w:sz w:val="32"/>
          <w:szCs w:val="32"/>
          <w:highlight w:val="none"/>
          <w:lang w:val="en-US" w:eastAsia="zh-CN"/>
        </w:rPr>
        <w:t>工委政法委</w:t>
      </w:r>
      <w:r>
        <w:rPr>
          <w:rFonts w:hint="eastAsia" w:ascii="楷体_GB2312" w:hAnsi="楷体_GB2312" w:eastAsia="楷体_GB2312" w:cs="楷体_GB2312"/>
          <w:color w:val="auto"/>
          <w:kern w:val="32"/>
          <w:sz w:val="32"/>
          <w:szCs w:val="32"/>
          <w:highlight w:val="none"/>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ascii="黑体" w:hAnsi="黑体" w:eastAsia="黑体" w:cs="黑体"/>
          <w:spacing w:val="4"/>
          <w:sz w:val="32"/>
          <w:szCs w:val="32"/>
        </w:rPr>
        <w:t>加强行政权力监督制约</w:t>
      </w:r>
    </w:p>
    <w:p>
      <w:pPr>
        <w:pStyle w:val="8"/>
        <w:keepNext w:val="0"/>
        <w:keepLines w:val="0"/>
        <w:pageBreakBefore w:val="0"/>
        <w:widowControl w:val="0"/>
        <w:kinsoku/>
        <w:wordWrap/>
        <w:overflow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.发挥纪检监察监督作用。</w:t>
      </w:r>
      <w:r>
        <w:rPr>
          <w:rFonts w:hint="eastAsia" w:ascii="仿宋_GB2312" w:hAnsi="仿宋_GB2312" w:eastAsia="仿宋_GB2312" w:cs="仿宋_GB2312"/>
          <w:color w:val="000000"/>
          <w:kern w:val="32"/>
          <w:sz w:val="32"/>
          <w:szCs w:val="32"/>
        </w:rPr>
        <w:t>加强纪检监察监督，对行政机关公职人员违法行为严格追究法律责任，依规依法给予处分。</w:t>
      </w:r>
      <w:r>
        <w:rPr>
          <w:rFonts w:hint="eastAsia" w:ascii="楷体_GB2312" w:hAnsi="楷体_GB2312" w:eastAsia="楷体_GB2312" w:cs="楷体_GB2312"/>
          <w:sz w:val="32"/>
          <w:szCs w:val="32"/>
        </w:rPr>
        <w:t>（</w:t>
      </w:r>
      <w:r>
        <w:rPr>
          <w:rFonts w:hint="eastAsia" w:ascii="楷体_GB2312" w:hAnsi="楷体_GB2312" w:eastAsia="楷体_GB2312" w:cs="楷体_GB2312"/>
          <w:color w:val="auto"/>
          <w:kern w:val="32"/>
          <w:sz w:val="32"/>
          <w:szCs w:val="32"/>
          <w:highlight w:val="none"/>
          <w:lang w:val="en-US" w:eastAsia="zh-CN" w:bidi="ar-SA"/>
        </w:rPr>
        <w:t>责任单位：纪检监察工委，各街道（镇）、有关部门（单位）；完成时限：12月底前</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.充分发挥司法监督效能。</w:t>
      </w:r>
      <w:r>
        <w:rPr>
          <w:rFonts w:hint="eastAsia" w:ascii="仿宋_GB2312" w:hAnsi="Times New Roman" w:eastAsia="仿宋_GB2312" w:cs="Times New Roman"/>
          <w:color w:val="000000"/>
          <w:kern w:val="32"/>
          <w:sz w:val="32"/>
          <w:szCs w:val="32"/>
          <w:lang w:val="en-US" w:eastAsia="en-US" w:bidi="ar-SA"/>
        </w:rPr>
        <w:t>建立健全府院、府检联动工作机制，推动行政机关和审判机关、检察机关开展多维度多层次联动协作。加大公益诉讼办案力度，综合运用磋商、司法建议、检察建议、支持起诉等多种方式，督促行政机关依法、全面、及时履行法定职责。</w:t>
      </w:r>
      <w:r>
        <w:rPr>
          <w:rFonts w:hint="eastAsia" w:ascii="楷体_GB2312" w:hAnsi="楷体_GB2312" w:eastAsia="楷体_GB2312" w:cs="楷体_GB2312"/>
          <w:sz w:val="32"/>
          <w:szCs w:val="32"/>
        </w:rPr>
        <w:t>（</w:t>
      </w:r>
      <w:r>
        <w:rPr>
          <w:rFonts w:hint="eastAsia" w:ascii="楷体_GB2312" w:hAnsi="楷体_GB2312" w:eastAsia="楷体_GB2312" w:cs="楷体_GB2312"/>
          <w:color w:val="auto"/>
          <w:kern w:val="32"/>
          <w:sz w:val="32"/>
          <w:szCs w:val="32"/>
          <w:highlight w:val="none"/>
          <w:lang w:val="en-US" w:eastAsia="en-US" w:bidi="ar-SA"/>
        </w:rPr>
        <w:t>责任单位：法院、检察院、</w:t>
      </w:r>
      <w:r>
        <w:rPr>
          <w:rFonts w:hint="eastAsia" w:ascii="楷体_GB2312" w:hAnsi="楷体_GB2312" w:eastAsia="楷体_GB2312" w:cs="楷体_GB2312"/>
          <w:color w:val="auto"/>
          <w:kern w:val="32"/>
          <w:sz w:val="32"/>
          <w:szCs w:val="32"/>
          <w:highlight w:val="none"/>
          <w:lang w:val="en-US" w:eastAsia="zh-CN" w:bidi="ar-SA"/>
        </w:rPr>
        <w:t>工委政法委</w:t>
      </w:r>
      <w:r>
        <w:rPr>
          <w:rFonts w:hint="eastAsia" w:ascii="楷体_GB2312" w:hAnsi="楷体_GB2312" w:eastAsia="楷体_GB2312" w:cs="楷体_GB2312"/>
          <w:color w:val="auto"/>
          <w:kern w:val="32"/>
          <w:sz w:val="32"/>
          <w:szCs w:val="32"/>
          <w:highlight w:val="none"/>
          <w:lang w:val="en-US" w:eastAsia="en-US" w:bidi="ar-SA"/>
        </w:rPr>
        <w:t>，</w:t>
      </w:r>
      <w:r>
        <w:rPr>
          <w:rFonts w:hint="eastAsia" w:ascii="楷体_GB2312" w:hAnsi="楷体_GB2312" w:eastAsia="楷体_GB2312" w:cs="楷体_GB2312"/>
          <w:color w:val="auto"/>
          <w:kern w:val="32"/>
          <w:sz w:val="32"/>
          <w:szCs w:val="32"/>
          <w:highlight w:val="none"/>
          <w:lang w:val="en-US" w:eastAsia="zh-CN" w:bidi="ar-SA"/>
        </w:rPr>
        <w:t>有关部门（单位）</w:t>
      </w:r>
      <w:r>
        <w:rPr>
          <w:rFonts w:hint="eastAsia" w:ascii="楷体_GB2312" w:hAnsi="楷体_GB2312" w:eastAsia="楷体_GB2312" w:cs="楷体_GB2312"/>
          <w:color w:val="auto"/>
          <w:kern w:val="32"/>
          <w:sz w:val="32"/>
          <w:szCs w:val="32"/>
          <w:highlight w:val="none"/>
          <w:lang w:val="en-US" w:eastAsia="en-US" w:bidi="ar-SA"/>
        </w:rPr>
        <w:t>；完成时限：12月底前</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.完善政务公开制度。</w:t>
      </w:r>
      <w:r>
        <w:rPr>
          <w:rFonts w:hint="eastAsia" w:ascii="仿宋_GB2312" w:hAnsi="Times New Roman" w:eastAsia="仿宋_GB2312" w:cs="Times New Roman"/>
          <w:color w:val="000000"/>
          <w:kern w:val="32"/>
          <w:sz w:val="32"/>
          <w:szCs w:val="32"/>
          <w:lang w:val="en-US" w:eastAsia="en-US" w:bidi="ar-SA"/>
        </w:rPr>
        <w:t>持续做好新时代政务公开工作，完善政府信息公开，有序推进公众参与，以公开促落实、优服务、强监管。建立健全例行新闻发布会和政策例行吹风会制度，加强政策解读和回应关切。在</w:t>
      </w:r>
      <w:r>
        <w:rPr>
          <w:rFonts w:hint="eastAsia" w:ascii="仿宋_GB2312" w:hAnsi="Times New Roman" w:eastAsia="仿宋_GB2312" w:cs="Times New Roman"/>
          <w:color w:val="000000"/>
          <w:kern w:val="32"/>
          <w:sz w:val="32"/>
          <w:szCs w:val="32"/>
          <w:lang w:val="en-US" w:eastAsia="zh-CN" w:bidi="ar-SA"/>
        </w:rPr>
        <w:t>区</w:t>
      </w:r>
      <w:r>
        <w:rPr>
          <w:rFonts w:hint="eastAsia" w:ascii="仿宋_GB2312" w:hAnsi="Times New Roman" w:eastAsia="仿宋_GB2312" w:cs="Times New Roman"/>
          <w:color w:val="000000"/>
          <w:kern w:val="32"/>
          <w:sz w:val="32"/>
          <w:szCs w:val="32"/>
          <w:lang w:val="en-US" w:eastAsia="en-US" w:bidi="ar-SA"/>
        </w:rPr>
        <w:t>级政务服务中心公示动态调整并实时公示进驻事项清单，明确办理窗口、受理时限、办结时限，主动接受社会监督。</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工委</w:t>
      </w:r>
      <w:r>
        <w:rPr>
          <w:rFonts w:hint="eastAsia" w:ascii="楷体_GB2312" w:hAnsi="楷体_GB2312" w:eastAsia="楷体_GB2312" w:cs="楷体_GB2312"/>
          <w:sz w:val="32"/>
          <w:szCs w:val="32"/>
        </w:rPr>
        <w:t>办公室、</w:t>
      </w:r>
      <w:r>
        <w:rPr>
          <w:rFonts w:hint="eastAsia" w:ascii="楷体_GB2312" w:hAnsi="楷体_GB2312" w:eastAsia="楷体_GB2312" w:cs="楷体_GB2312"/>
          <w:sz w:val="32"/>
          <w:szCs w:val="32"/>
          <w:lang w:val="en-US" w:eastAsia="zh-CN"/>
        </w:rPr>
        <w:t>工委</w:t>
      </w:r>
      <w:r>
        <w:rPr>
          <w:rFonts w:hint="eastAsia" w:ascii="楷体_GB2312" w:hAnsi="楷体_GB2312" w:eastAsia="楷体_GB2312" w:cs="楷体_GB2312"/>
          <w:sz w:val="32"/>
          <w:szCs w:val="32"/>
        </w:rPr>
        <w:t>宣传</w:t>
      </w:r>
      <w:r>
        <w:rPr>
          <w:rFonts w:hint="eastAsia" w:ascii="楷体_GB2312" w:hAnsi="楷体_GB2312" w:eastAsia="楷体_GB2312" w:cs="楷体_GB2312"/>
          <w:sz w:val="32"/>
          <w:szCs w:val="32"/>
          <w:lang w:val="en-US" w:eastAsia="zh-CN"/>
        </w:rPr>
        <w:t>群团</w:t>
      </w:r>
      <w:r>
        <w:rPr>
          <w:rFonts w:hint="eastAsia" w:ascii="楷体_GB2312" w:hAnsi="楷体_GB2312" w:eastAsia="楷体_GB2312" w:cs="楷体_GB2312"/>
          <w:sz w:val="32"/>
          <w:szCs w:val="32"/>
        </w:rPr>
        <w:t>部、行政审批局，有关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sz w:val="32"/>
          <w:szCs w:val="32"/>
        </w:rPr>
        <w:t>；完成时限：</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20</w:t>
      </w:r>
      <w:r>
        <w:rPr>
          <w:rFonts w:hint="eastAsia" w:ascii="楷体_GB2312" w:hAnsi="楷体_GB2312" w:eastAsia="楷体_GB2312" w:cs="楷体_GB2312"/>
          <w:color w:val="auto"/>
          <w:sz w:val="32"/>
          <w:szCs w:val="32"/>
          <w:highlight w:val="none"/>
        </w:rPr>
        <w:t>.加强政务诚信建设。</w:t>
      </w:r>
      <w:r>
        <w:rPr>
          <w:rFonts w:hint="eastAsia" w:ascii="仿宋_GB2312" w:hAnsi="Times New Roman" w:eastAsia="仿宋_GB2312" w:cs="Times New Roman"/>
          <w:color w:val="auto"/>
          <w:kern w:val="32"/>
          <w:sz w:val="32"/>
          <w:szCs w:val="32"/>
          <w:highlight w:val="none"/>
          <w:lang w:val="en-US" w:eastAsia="en-US" w:bidi="ar-SA"/>
        </w:rPr>
        <w:t>健全政务诚信诉讼执行协调机制，采取督办、约谈、通报等一系列监督手段，督促违约毁约、拖欠账款、拒不履行司法裁判的政务失信主体及时履行法定义务或者与权利人协商解决纠纷。持续开展失信机构清理整治，对失信政府机构“零容忍”</w:t>
      </w:r>
      <w:r>
        <w:rPr>
          <w:rFonts w:hint="eastAsia" w:ascii="仿宋_GB2312" w:hAnsi="Times New Roman" w:eastAsia="仿宋_GB2312" w:cs="Times New Roman"/>
          <w:color w:val="auto"/>
          <w:kern w:val="32"/>
          <w:sz w:val="32"/>
          <w:szCs w:val="32"/>
          <w:highlight w:val="none"/>
          <w:lang w:val="en-US" w:eastAsia="zh-CN" w:bidi="ar-SA"/>
        </w:rPr>
        <w:t>。</w:t>
      </w:r>
      <w:r>
        <w:rPr>
          <w:rFonts w:hint="eastAsia" w:ascii="楷体_GB2312" w:hAnsi="楷体_GB2312" w:eastAsia="楷体_GB2312" w:cs="楷体_GB2312"/>
          <w:color w:val="auto"/>
          <w:sz w:val="32"/>
          <w:szCs w:val="32"/>
          <w:highlight w:val="none"/>
        </w:rPr>
        <w:t>（责任单位：</w:t>
      </w:r>
      <w:r>
        <w:rPr>
          <w:rFonts w:hint="eastAsia" w:ascii="楷体_GB2312" w:hAnsi="楷体_GB2312" w:eastAsia="楷体_GB2312" w:cs="楷体_GB2312"/>
          <w:color w:val="auto"/>
          <w:sz w:val="32"/>
          <w:szCs w:val="32"/>
          <w:highlight w:val="none"/>
          <w:lang w:val="en-US" w:eastAsia="zh-CN"/>
        </w:rPr>
        <w:t>工委政法委</w:t>
      </w:r>
      <w:r>
        <w:rPr>
          <w:rFonts w:hint="eastAsia" w:ascii="楷体_GB2312" w:hAnsi="楷体_GB2312" w:eastAsia="楷体_GB2312" w:cs="楷体_GB2312"/>
          <w:color w:val="auto"/>
          <w:sz w:val="32"/>
          <w:szCs w:val="32"/>
          <w:highlight w:val="none"/>
        </w:rPr>
        <w:t>，有关</w:t>
      </w:r>
      <w:r>
        <w:rPr>
          <w:rFonts w:hint="eastAsia" w:ascii="楷体_GB2312" w:hAnsi="楷体_GB2312" w:eastAsia="楷体_GB2312" w:cs="楷体_GB2312"/>
          <w:color w:val="auto"/>
          <w:sz w:val="32"/>
          <w:szCs w:val="32"/>
          <w:highlight w:val="none"/>
          <w:lang w:val="en-US" w:eastAsia="zh-CN"/>
        </w:rPr>
        <w:t>部门（单位）</w:t>
      </w:r>
      <w:r>
        <w:rPr>
          <w:rFonts w:hint="eastAsia" w:ascii="楷体_GB2312" w:hAnsi="楷体_GB2312" w:eastAsia="楷体_GB2312" w:cs="楷体_GB2312"/>
          <w:color w:val="auto"/>
          <w:sz w:val="32"/>
          <w:szCs w:val="32"/>
          <w:highlight w:val="none"/>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楷体_GB2312" w:hAnsi="楷体_GB2312" w:eastAsia="楷体_GB2312" w:cs="楷体_GB2312"/>
          <w:color w:val="000000"/>
          <w:kern w:val="32"/>
          <w:sz w:val="32"/>
          <w:szCs w:val="32"/>
        </w:rPr>
      </w:pP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.全面提升行政执法监督质效。</w:t>
      </w:r>
      <w:r>
        <w:rPr>
          <w:rFonts w:hint="eastAsia" w:ascii="仿宋_GB2312" w:hAnsi="Times New Roman" w:eastAsia="仿宋_GB2312" w:cs="Times New Roman"/>
          <w:color w:val="000000"/>
          <w:kern w:val="32"/>
          <w:sz w:val="32"/>
          <w:szCs w:val="32"/>
        </w:rPr>
        <w:t>围绕优化营商环境、人民群众切身利益和社会普遍关注的热点、难点问题，部署开展重点领域行政执法专项监督。深化涉企执法阳光监督改革，全面规范涉企执法行为。按照国家、省市部署要求，进一步健全完善行政执法协调监督工作体系。</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工委政法委</w:t>
      </w:r>
      <w:r>
        <w:rPr>
          <w:rFonts w:hint="eastAsia" w:ascii="楷体_GB2312" w:hAnsi="楷体_GB2312" w:eastAsia="楷体_GB2312" w:cs="楷体_GB2312"/>
          <w:color w:val="000000"/>
          <w:kern w:val="32"/>
          <w:sz w:val="32"/>
          <w:szCs w:val="32"/>
        </w:rPr>
        <w:t>，</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ascii="黑体" w:hAnsi="黑体" w:eastAsia="黑体" w:cs="黑体"/>
          <w:spacing w:val="5"/>
          <w:sz w:val="32"/>
          <w:szCs w:val="32"/>
        </w:rPr>
        <w:t>加快推进数字政府建设</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hAnsi="Times New Roman" w:eastAsia="仿宋_GB2312" w:cs="Times New Roman"/>
          <w:color w:val="000000"/>
          <w:kern w:val="3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.打造现代“政务综合体”</w:t>
      </w:r>
      <w:r>
        <w:rPr>
          <w:rFonts w:hint="eastAsia" w:ascii="楷体_GB2312" w:hAnsi="楷体_GB2312" w:eastAsia="楷体_GB2312" w:cs="楷体_GB2312"/>
          <w:color w:val="000000"/>
          <w:kern w:val="32"/>
          <w:sz w:val="32"/>
          <w:szCs w:val="32"/>
        </w:rPr>
        <w:t>。</w:t>
      </w:r>
      <w:r>
        <w:rPr>
          <w:rFonts w:hint="eastAsia" w:ascii="仿宋_GB2312" w:eastAsia="仿宋_GB2312"/>
          <w:sz w:val="32"/>
          <w:szCs w:val="32"/>
        </w:rPr>
        <w:t>持续深化“互联网+政务服务”改革，探索建设集智慧办事、宣教互动、公益服务等功能于一体的现代政务综合体，提升窗口集成服务质效</w:t>
      </w:r>
      <w:r>
        <w:rPr>
          <w:rFonts w:hint="eastAsia" w:ascii="仿宋_GB2312" w:hAnsi="Times New Roman" w:eastAsia="仿宋_GB2312" w:cs="Times New Roman"/>
          <w:color w:val="000000"/>
          <w:kern w:val="32"/>
          <w:sz w:val="32"/>
          <w:szCs w:val="32"/>
        </w:rPr>
        <w:t>。</w:t>
      </w:r>
      <w:r>
        <w:rPr>
          <w:rFonts w:hint="eastAsia" w:ascii="楷体_GB2312" w:hAnsi="楷体_GB2312" w:eastAsia="楷体_GB2312" w:cs="楷体_GB2312"/>
          <w:color w:val="000000"/>
          <w:kern w:val="32"/>
          <w:sz w:val="32"/>
          <w:szCs w:val="32"/>
        </w:rPr>
        <w:t>（责任单位：行政审批局、</w:t>
      </w:r>
      <w:r>
        <w:rPr>
          <w:rFonts w:hint="eastAsia" w:ascii="楷体_GB2312" w:hAnsi="楷体_GB2312" w:eastAsia="楷体_GB2312" w:cs="楷体_GB2312"/>
          <w:color w:val="000000"/>
          <w:kern w:val="32"/>
          <w:sz w:val="32"/>
          <w:szCs w:val="32"/>
          <w:lang w:val="en-US" w:eastAsia="zh-CN"/>
        </w:rPr>
        <w:t>工委办公室</w:t>
      </w:r>
      <w:r>
        <w:rPr>
          <w:rFonts w:hint="eastAsia" w:ascii="楷体_GB2312" w:hAnsi="楷体_GB2312" w:eastAsia="楷体_GB2312" w:cs="楷体_GB2312"/>
          <w:color w:val="000000"/>
          <w:kern w:val="32"/>
          <w:sz w:val="32"/>
          <w:szCs w:val="32"/>
        </w:rPr>
        <w:t>，</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3</w:t>
      </w:r>
      <w:r>
        <w:rPr>
          <w:rFonts w:ascii="楷体_GB2312" w:hAnsi="楷体_GB2312" w:eastAsia="楷体_GB2312" w:cs="楷体_GB2312"/>
          <w:sz w:val="32"/>
          <w:szCs w:val="32"/>
        </w:rPr>
        <w:t>.完善“爱山东”政务服务品牌</w:t>
      </w:r>
      <w:r>
        <w:rPr>
          <w:rFonts w:hint="eastAsia" w:ascii="楷体_GB2312" w:hAnsi="楷体_GB2312" w:eastAsia="楷体_GB2312" w:cs="楷体_GB2312"/>
          <w:sz w:val="32"/>
          <w:szCs w:val="32"/>
        </w:rPr>
        <w:t>。</w:t>
      </w:r>
      <w:r>
        <w:rPr>
          <w:rFonts w:hint="eastAsia" w:ascii="仿宋_GB2312" w:eastAsia="仿宋_GB2312"/>
          <w:sz w:val="32"/>
          <w:szCs w:val="32"/>
        </w:rPr>
        <w:t>加强业务协同、深度融合，实现政务服务事项申报一体化管理。继续推动以“爱山东”为统一品牌，统筹企业和群众服务渠道，全面整合各级各部门政务服务事项办事入口。</w:t>
      </w:r>
      <w:r>
        <w:rPr>
          <w:rFonts w:hint="eastAsia" w:ascii="楷体_GB2312" w:hAnsi="楷体_GB2312" w:eastAsia="楷体_GB2312" w:cs="楷体_GB2312"/>
          <w:sz w:val="32"/>
          <w:szCs w:val="32"/>
        </w:rPr>
        <w:t>（责任单位：</w:t>
      </w:r>
      <w:r>
        <w:rPr>
          <w:rFonts w:hint="eastAsia" w:ascii="楷体_GB2312" w:hAnsi="楷体_GB2312" w:eastAsia="楷体_GB2312" w:cs="楷体_GB2312"/>
          <w:color w:val="000000"/>
          <w:kern w:val="32"/>
          <w:sz w:val="32"/>
          <w:szCs w:val="32"/>
          <w:lang w:val="en-US" w:eastAsia="zh-CN"/>
        </w:rPr>
        <w:t>工委办公室</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kern w:val="32"/>
          <w:sz w:val="32"/>
          <w:szCs w:val="32"/>
        </w:rPr>
        <w:t>行政审批局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24.聚力打造“无证明之城”。</w:t>
      </w:r>
      <w:r>
        <w:rPr>
          <w:rFonts w:hint="eastAsia" w:ascii="仿宋_GB2312" w:eastAsia="仿宋_GB2312"/>
          <w:sz w:val="32"/>
          <w:szCs w:val="32"/>
        </w:rPr>
        <w:t>贯彻落实数字强省建设规划，推动涉企电子许可证“一照关联”“一码通行”等举措，动态更新发布电子证照“发证”“用证”清单，在政务服务、行政执法、社会化应用领域推动证照证明材料“免提交”。推动“鲁通码”场景广泛应用，群众“一码通行”成为常态</w:t>
      </w:r>
      <w:r>
        <w:rPr>
          <w:rFonts w:hint="eastAsia" w:ascii="仿宋_GB2312" w:eastAsia="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工委办公室</w:t>
      </w:r>
      <w:r>
        <w:rPr>
          <w:rFonts w:hint="eastAsia" w:ascii="楷体_GB2312" w:hAnsi="楷体_GB2312" w:eastAsia="楷体_GB2312" w:cs="楷体_GB2312"/>
          <w:sz w:val="32"/>
          <w:szCs w:val="32"/>
        </w:rPr>
        <w:t>、市场监管</w:t>
      </w:r>
      <w:r>
        <w:rPr>
          <w:rFonts w:hint="eastAsia" w:ascii="楷体_GB2312" w:hAnsi="楷体_GB2312" w:eastAsia="楷体_GB2312" w:cs="楷体_GB2312"/>
          <w:sz w:val="32"/>
          <w:szCs w:val="32"/>
          <w:lang w:val="en-US" w:eastAsia="zh-CN"/>
        </w:rPr>
        <w:t>分</w:t>
      </w:r>
      <w:r>
        <w:rPr>
          <w:rFonts w:hint="eastAsia" w:ascii="楷体_GB2312" w:hAnsi="楷体_GB2312" w:eastAsia="楷体_GB2312" w:cs="楷体_GB2312"/>
          <w:sz w:val="32"/>
          <w:szCs w:val="32"/>
        </w:rPr>
        <w:t>局，</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ascii="黑体" w:hAnsi="黑体" w:eastAsia="黑体" w:cs="黑体"/>
          <w:spacing w:val="5"/>
          <w:sz w:val="32"/>
          <w:szCs w:val="32"/>
        </w:rPr>
        <w:t>强化组织保障和推动落实</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hAnsi="Times New Roman" w:eastAsia="仿宋_GB2312" w:cs="Times New Roman"/>
          <w:color w:val="000000"/>
          <w:kern w:val="32"/>
          <w:sz w:val="32"/>
          <w:szCs w:val="32"/>
        </w:rPr>
      </w:pPr>
      <w:r>
        <w:rPr>
          <w:rFonts w:hint="eastAsia" w:ascii="楷体_GB2312" w:hAnsi="楷体_GB2312" w:eastAsia="楷体_GB2312" w:cs="楷体_GB2312"/>
          <w:color w:val="000000"/>
          <w:kern w:val="32"/>
          <w:sz w:val="32"/>
          <w:szCs w:val="32"/>
        </w:rPr>
        <w:t>2</w:t>
      </w:r>
      <w:r>
        <w:rPr>
          <w:rFonts w:hint="eastAsia" w:ascii="楷体_GB2312" w:hAnsi="楷体_GB2312" w:eastAsia="楷体_GB2312" w:cs="楷体_GB2312"/>
          <w:color w:val="000000"/>
          <w:kern w:val="32"/>
          <w:sz w:val="32"/>
          <w:szCs w:val="32"/>
          <w:lang w:val="en-US" w:eastAsia="zh-CN"/>
        </w:rPr>
        <w:t>5</w:t>
      </w:r>
      <w:r>
        <w:rPr>
          <w:rFonts w:hint="eastAsia" w:ascii="楷体_GB2312" w:hAnsi="楷体_GB2312" w:eastAsia="楷体_GB2312" w:cs="楷体_GB2312"/>
          <w:color w:val="000000"/>
          <w:kern w:val="32"/>
          <w:sz w:val="32"/>
          <w:szCs w:val="32"/>
        </w:rPr>
        <w:t>.加强党对法治政府建设的领导。</w:t>
      </w:r>
      <w:r>
        <w:rPr>
          <w:rFonts w:hint="eastAsia" w:ascii="仿宋_GB2312" w:hAnsi="Times New Roman" w:eastAsia="仿宋_GB2312" w:cs="Times New Roman"/>
          <w:color w:val="000000"/>
          <w:kern w:val="32"/>
          <w:sz w:val="32"/>
          <w:szCs w:val="32"/>
        </w:rPr>
        <w:t>深入学习贯彻习近平法治思想，将习近平法治思想纳入各级党委（党组）理论学习中心组重点学习内容，落实</w:t>
      </w:r>
      <w:r>
        <w:rPr>
          <w:rFonts w:hint="eastAsia" w:ascii="仿宋_GB2312" w:hAnsi="Times New Roman" w:eastAsia="仿宋_GB2312" w:cs="Times New Roman"/>
          <w:color w:val="000000"/>
          <w:kern w:val="32"/>
          <w:sz w:val="32"/>
          <w:szCs w:val="32"/>
          <w:lang w:val="en-US" w:eastAsia="zh-CN"/>
        </w:rPr>
        <w:t>工委</w:t>
      </w:r>
      <w:r>
        <w:rPr>
          <w:rFonts w:hint="eastAsia" w:ascii="仿宋_GB2312" w:hAnsi="Times New Roman" w:eastAsia="仿宋_GB2312" w:cs="Times New Roman"/>
          <w:color w:val="000000"/>
          <w:kern w:val="32"/>
          <w:sz w:val="32"/>
          <w:szCs w:val="32"/>
        </w:rPr>
        <w:t>会议、部门领导班子定期学法制度，将习近平法治思想贯彻落实到法治政府建设的全过程各方面。主要负责人</w:t>
      </w:r>
      <w:r>
        <w:rPr>
          <w:rFonts w:hint="eastAsia" w:ascii="仿宋_GB2312" w:hAnsi="Times New Roman" w:eastAsia="仿宋_GB2312" w:cs="Times New Roman"/>
          <w:color w:val="000000"/>
          <w:kern w:val="32"/>
          <w:sz w:val="32"/>
          <w:szCs w:val="32"/>
          <w:lang w:val="en-US" w:eastAsia="zh-CN"/>
        </w:rPr>
        <w:t>要</w:t>
      </w:r>
      <w:r>
        <w:rPr>
          <w:rFonts w:hint="eastAsia" w:ascii="仿宋_GB2312" w:hAnsi="Times New Roman" w:eastAsia="仿宋_GB2312" w:cs="Times New Roman"/>
          <w:color w:val="000000"/>
          <w:kern w:val="32"/>
          <w:sz w:val="32"/>
          <w:szCs w:val="32"/>
        </w:rPr>
        <w:t>履行推进法治政府建设第一责任人职责，认真谋划落实法治政府建设各项任务。</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w:t>
      </w:r>
      <w:r>
        <w:rPr>
          <w:rFonts w:hint="eastAsia" w:ascii="楷体_GB2312" w:hAnsi="楷体_GB2312" w:eastAsia="楷体_GB2312" w:cs="楷体_GB2312"/>
          <w:color w:val="000000"/>
          <w:kern w:val="32"/>
          <w:sz w:val="32"/>
          <w:szCs w:val="32"/>
        </w:rPr>
        <w:t>委宣传</w:t>
      </w:r>
      <w:r>
        <w:rPr>
          <w:rFonts w:hint="eastAsia" w:ascii="楷体_GB2312" w:hAnsi="楷体_GB2312" w:eastAsia="楷体_GB2312" w:cs="楷体_GB2312"/>
          <w:color w:val="000000"/>
          <w:kern w:val="32"/>
          <w:sz w:val="32"/>
          <w:szCs w:val="32"/>
          <w:lang w:val="en-US" w:eastAsia="zh-CN"/>
        </w:rPr>
        <w:t>群团</w:t>
      </w:r>
      <w:r>
        <w:rPr>
          <w:rFonts w:hint="eastAsia" w:ascii="楷体_GB2312" w:hAnsi="楷体_GB2312" w:eastAsia="楷体_GB2312" w:cs="楷体_GB2312"/>
          <w:color w:val="000000"/>
          <w:kern w:val="32"/>
          <w:sz w:val="32"/>
          <w:szCs w:val="32"/>
        </w:rPr>
        <w:t>部、</w:t>
      </w:r>
      <w:r>
        <w:rPr>
          <w:rFonts w:hint="eastAsia" w:ascii="楷体_GB2312" w:hAnsi="楷体_GB2312" w:eastAsia="楷体_GB2312" w:cs="楷体_GB2312"/>
          <w:color w:val="000000"/>
          <w:kern w:val="32"/>
          <w:sz w:val="32"/>
          <w:szCs w:val="32"/>
          <w:lang w:val="en-US" w:eastAsia="zh-CN"/>
        </w:rPr>
        <w:t>工</w:t>
      </w:r>
      <w:r>
        <w:rPr>
          <w:rFonts w:hint="eastAsia" w:ascii="楷体_GB2312" w:hAnsi="楷体_GB2312" w:eastAsia="楷体_GB2312" w:cs="楷体_GB2312"/>
          <w:color w:val="000000"/>
          <w:kern w:val="32"/>
          <w:sz w:val="32"/>
          <w:szCs w:val="32"/>
        </w:rPr>
        <w:t>委依法治</w:t>
      </w:r>
      <w:r>
        <w:rPr>
          <w:rFonts w:hint="eastAsia" w:ascii="楷体_GB2312" w:hAnsi="楷体_GB2312" w:eastAsia="楷体_GB2312" w:cs="楷体_GB2312"/>
          <w:color w:val="000000"/>
          <w:kern w:val="32"/>
          <w:sz w:val="32"/>
          <w:szCs w:val="32"/>
          <w:lang w:val="en-US" w:eastAsia="zh-CN"/>
        </w:rPr>
        <w:t>区</w:t>
      </w:r>
      <w:r>
        <w:rPr>
          <w:rFonts w:hint="eastAsia" w:ascii="楷体_GB2312" w:hAnsi="楷体_GB2312" w:eastAsia="楷体_GB2312" w:cs="楷体_GB2312"/>
          <w:color w:val="000000"/>
          <w:kern w:val="32"/>
          <w:sz w:val="32"/>
          <w:szCs w:val="32"/>
        </w:rPr>
        <w:t>办，</w:t>
      </w:r>
      <w:r>
        <w:rPr>
          <w:rFonts w:hint="eastAsia" w:ascii="楷体_GB2312" w:hAnsi="楷体_GB2312" w:eastAsia="楷体_GB2312" w:cs="楷体_GB2312"/>
          <w:sz w:val="32"/>
          <w:szCs w:val="32"/>
          <w:lang w:val="en-US" w:eastAsia="zh-CN"/>
        </w:rPr>
        <w:t>各街道（镇）、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hAnsi="Times New Roman" w:eastAsia="仿宋_GB2312" w:cs="Times New Roman"/>
          <w:color w:val="000000"/>
          <w:kern w:val="32"/>
          <w:sz w:val="32"/>
          <w:szCs w:val="32"/>
        </w:rPr>
      </w:pPr>
      <w:r>
        <w:rPr>
          <w:rFonts w:hint="eastAsia" w:ascii="楷体_GB2312" w:hAnsi="楷体_GB2312" w:eastAsia="楷体_GB2312" w:cs="楷体_GB2312"/>
          <w:color w:val="000000"/>
          <w:kern w:val="32"/>
          <w:sz w:val="32"/>
          <w:szCs w:val="32"/>
        </w:rPr>
        <w:t>2</w:t>
      </w:r>
      <w:r>
        <w:rPr>
          <w:rFonts w:hint="eastAsia" w:ascii="楷体_GB2312" w:hAnsi="楷体_GB2312" w:eastAsia="楷体_GB2312" w:cs="楷体_GB2312"/>
          <w:color w:val="000000"/>
          <w:kern w:val="32"/>
          <w:sz w:val="32"/>
          <w:szCs w:val="32"/>
          <w:lang w:val="en-US" w:eastAsia="zh-CN"/>
        </w:rPr>
        <w:t>6</w:t>
      </w:r>
      <w:r>
        <w:rPr>
          <w:rFonts w:hint="eastAsia" w:ascii="楷体_GB2312" w:hAnsi="楷体_GB2312" w:eastAsia="楷体_GB2312" w:cs="楷体_GB2312"/>
          <w:color w:val="000000"/>
          <w:kern w:val="32"/>
          <w:sz w:val="32"/>
          <w:szCs w:val="32"/>
        </w:rPr>
        <w:t>.加强依法行政能力建设。</w:t>
      </w:r>
      <w:r>
        <w:rPr>
          <w:rFonts w:hint="eastAsia" w:ascii="仿宋_GB2312" w:hAnsi="Times New Roman" w:eastAsia="仿宋_GB2312" w:cs="Times New Roman"/>
          <w:color w:val="000000"/>
          <w:kern w:val="32"/>
          <w:sz w:val="32"/>
          <w:szCs w:val="32"/>
        </w:rPr>
        <w:t>积极实施领导干部应知应会党内法规和国家法律清单制度。将法治教育纳入公务员初任培训、任职培训的必训内容，组织开展新入职公务员、新提拔领导干部和行政执法人员学法考法工作。大力弘扬宪法精神，维护宪法权威，组织新录用公务员宪法宣誓。</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w:t>
      </w:r>
      <w:r>
        <w:rPr>
          <w:rFonts w:hint="eastAsia" w:ascii="楷体_GB2312" w:hAnsi="楷体_GB2312" w:eastAsia="楷体_GB2312" w:cs="楷体_GB2312"/>
          <w:color w:val="000000"/>
          <w:kern w:val="32"/>
          <w:sz w:val="32"/>
          <w:szCs w:val="32"/>
        </w:rPr>
        <w:t>委组织部、</w:t>
      </w:r>
      <w:r>
        <w:rPr>
          <w:rFonts w:hint="eastAsia" w:ascii="楷体_GB2312" w:hAnsi="楷体_GB2312" w:eastAsia="楷体_GB2312" w:cs="楷体_GB2312"/>
          <w:color w:val="000000"/>
          <w:kern w:val="32"/>
          <w:sz w:val="32"/>
          <w:szCs w:val="32"/>
          <w:lang w:val="en-US" w:eastAsia="zh-CN"/>
        </w:rPr>
        <w:t>工</w:t>
      </w:r>
      <w:r>
        <w:rPr>
          <w:rFonts w:hint="eastAsia" w:ascii="楷体_GB2312" w:hAnsi="楷体_GB2312" w:eastAsia="楷体_GB2312" w:cs="楷体_GB2312"/>
          <w:color w:val="000000"/>
          <w:kern w:val="32"/>
          <w:sz w:val="32"/>
          <w:szCs w:val="32"/>
        </w:rPr>
        <w:t>委</w:t>
      </w:r>
      <w:r>
        <w:rPr>
          <w:rFonts w:hint="eastAsia" w:ascii="楷体_GB2312" w:hAnsi="楷体_GB2312" w:eastAsia="楷体_GB2312" w:cs="楷体_GB2312"/>
          <w:color w:val="000000"/>
          <w:kern w:val="32"/>
          <w:sz w:val="32"/>
          <w:szCs w:val="32"/>
          <w:lang w:val="en-US" w:eastAsia="zh-CN"/>
        </w:rPr>
        <w:t>政法委</w:t>
      </w:r>
      <w:r>
        <w:rPr>
          <w:rFonts w:hint="eastAsia" w:ascii="楷体_GB2312" w:hAnsi="楷体_GB2312" w:eastAsia="楷体_GB2312" w:cs="楷体_GB2312"/>
          <w:color w:val="000000"/>
          <w:kern w:val="32"/>
          <w:sz w:val="32"/>
          <w:szCs w:val="32"/>
        </w:rPr>
        <w:t>；完成时限：12月底前）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仿宋_GB2312" w:hAnsi="Times New Roman" w:eastAsia="仿宋_GB2312" w:cs="Times New Roman"/>
          <w:color w:val="000000"/>
          <w:kern w:val="32"/>
          <w:sz w:val="32"/>
          <w:szCs w:val="32"/>
        </w:rPr>
      </w:pPr>
      <w:r>
        <w:rPr>
          <w:rFonts w:hint="eastAsia" w:ascii="楷体_GB2312" w:hAnsi="楷体_GB2312" w:eastAsia="楷体_GB2312" w:cs="楷体_GB2312"/>
          <w:color w:val="000000"/>
          <w:kern w:val="32"/>
          <w:sz w:val="32"/>
          <w:szCs w:val="32"/>
          <w:lang w:val="en-US" w:eastAsia="zh-CN"/>
        </w:rPr>
        <w:t>27</w:t>
      </w:r>
      <w:r>
        <w:rPr>
          <w:rFonts w:hint="eastAsia" w:ascii="楷体_GB2312" w:hAnsi="楷体_GB2312" w:eastAsia="楷体_GB2312" w:cs="楷体_GB2312"/>
          <w:color w:val="000000"/>
          <w:kern w:val="32"/>
          <w:sz w:val="32"/>
          <w:szCs w:val="32"/>
        </w:rPr>
        <w:t>.深化法治督察工作。</w:t>
      </w:r>
      <w:r>
        <w:rPr>
          <w:rFonts w:hint="eastAsia" w:ascii="仿宋_GB2312" w:hAnsi="Times New Roman" w:eastAsia="仿宋_GB2312" w:cs="Times New Roman"/>
          <w:color w:val="000000"/>
          <w:kern w:val="32"/>
          <w:sz w:val="32"/>
          <w:szCs w:val="32"/>
        </w:rPr>
        <w:t>开展年度综合性督察和专项督察。完善和落实法治督察与纪检监察监督协作配合机制，探索建立法治督察与行政监督、司法监督等统筹推进机制。</w:t>
      </w:r>
      <w:r>
        <w:rPr>
          <w:rFonts w:hint="eastAsia" w:ascii="楷体_GB2312" w:hAnsi="楷体_GB2312" w:eastAsia="楷体_GB2312" w:cs="楷体_GB2312"/>
          <w:color w:val="000000"/>
          <w:kern w:val="32"/>
          <w:sz w:val="32"/>
          <w:szCs w:val="32"/>
        </w:rPr>
        <w:t>（责任单位：</w:t>
      </w:r>
      <w:r>
        <w:rPr>
          <w:rFonts w:hint="eastAsia" w:ascii="楷体_GB2312" w:hAnsi="楷体_GB2312" w:eastAsia="楷体_GB2312" w:cs="楷体_GB2312"/>
          <w:color w:val="000000"/>
          <w:kern w:val="32"/>
          <w:sz w:val="32"/>
          <w:szCs w:val="32"/>
          <w:lang w:val="en-US" w:eastAsia="zh-CN"/>
        </w:rPr>
        <w:t>工</w:t>
      </w:r>
      <w:r>
        <w:rPr>
          <w:rFonts w:hint="eastAsia" w:ascii="楷体_GB2312" w:hAnsi="楷体_GB2312" w:eastAsia="楷体_GB2312" w:cs="楷体_GB2312"/>
          <w:color w:val="000000"/>
          <w:kern w:val="32"/>
          <w:sz w:val="32"/>
          <w:szCs w:val="32"/>
        </w:rPr>
        <w:t>委</w:t>
      </w:r>
      <w:r>
        <w:rPr>
          <w:rFonts w:hint="eastAsia" w:ascii="楷体_GB2312" w:hAnsi="楷体_GB2312" w:eastAsia="楷体_GB2312" w:cs="楷体_GB2312"/>
          <w:color w:val="000000"/>
          <w:kern w:val="32"/>
          <w:sz w:val="32"/>
          <w:szCs w:val="32"/>
          <w:lang w:val="en-US" w:eastAsia="zh-CN"/>
        </w:rPr>
        <w:t>政法委</w:t>
      </w:r>
      <w:r>
        <w:rPr>
          <w:rFonts w:hint="eastAsia" w:ascii="楷体_GB2312" w:hAnsi="楷体_GB2312" w:eastAsia="楷体_GB2312" w:cs="楷体_GB2312"/>
          <w:color w:val="000000"/>
          <w:kern w:val="32"/>
          <w:sz w:val="32"/>
          <w:szCs w:val="32"/>
        </w:rPr>
        <w:t>、</w:t>
      </w:r>
      <w:r>
        <w:rPr>
          <w:rFonts w:hint="eastAsia" w:ascii="楷体_GB2312" w:hAnsi="楷体_GB2312" w:eastAsia="楷体_GB2312" w:cs="楷体_GB2312"/>
          <w:color w:val="000000"/>
          <w:kern w:val="32"/>
          <w:sz w:val="32"/>
          <w:szCs w:val="32"/>
          <w:lang w:val="en-US" w:eastAsia="zh-CN"/>
        </w:rPr>
        <w:t>纪检监察工委</w:t>
      </w:r>
      <w:r>
        <w:rPr>
          <w:rFonts w:hint="eastAsia" w:ascii="楷体_GB2312" w:hAnsi="楷体_GB2312" w:eastAsia="楷体_GB2312" w:cs="楷体_GB2312"/>
          <w:color w:val="000000"/>
          <w:kern w:val="32"/>
          <w:sz w:val="32"/>
          <w:szCs w:val="32"/>
        </w:rPr>
        <w:t>、法院、检察院；完成时限：12月底前）</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color w:val="000000"/>
          <w:kern w:val="32"/>
          <w:sz w:val="32"/>
          <w:szCs w:val="32"/>
        </w:rPr>
        <w:t>2</w:t>
      </w:r>
      <w:r>
        <w:rPr>
          <w:rFonts w:hint="eastAsia" w:ascii="楷体_GB2312" w:hAnsi="楷体_GB2312" w:eastAsia="楷体_GB2312" w:cs="楷体_GB2312"/>
          <w:color w:val="000000"/>
          <w:kern w:val="32"/>
          <w:sz w:val="32"/>
          <w:szCs w:val="32"/>
          <w:lang w:val="en-US" w:eastAsia="zh-CN"/>
        </w:rPr>
        <w:t>8</w:t>
      </w:r>
      <w:r>
        <w:rPr>
          <w:rFonts w:hint="eastAsia" w:ascii="楷体_GB2312" w:hAnsi="楷体_GB2312" w:eastAsia="楷体_GB2312" w:cs="楷体_GB2312"/>
          <w:color w:val="000000"/>
          <w:kern w:val="32"/>
          <w:sz w:val="32"/>
          <w:szCs w:val="32"/>
        </w:rPr>
        <w:t>.强化舆论宣传。</w:t>
      </w:r>
      <w:r>
        <w:rPr>
          <w:rFonts w:hint="eastAsia" w:ascii="仿宋_GB2312" w:hAnsi="Times New Roman" w:eastAsia="仿宋_GB2312" w:cs="Times New Roman"/>
          <w:color w:val="000000"/>
          <w:kern w:val="32"/>
          <w:sz w:val="32"/>
          <w:szCs w:val="32"/>
        </w:rPr>
        <w:t>加大法治政府建设成就经验宣传力度，营造良好社会舆论氛围。加强法治文化阵地建设，培育海洋法治宣传教育基地。</w:t>
      </w:r>
      <w:r>
        <w:rPr>
          <w:rFonts w:hint="eastAsia" w:ascii="楷体_GB2312" w:hAnsi="楷体_GB2312" w:eastAsia="楷体_GB2312" w:cs="楷体_GB2312"/>
          <w:color w:val="000000"/>
          <w:kern w:val="32"/>
          <w:sz w:val="32"/>
          <w:szCs w:val="32"/>
        </w:rPr>
        <w:t>（责任单位：工委宣传群团部、工委政法委、</w:t>
      </w:r>
      <w:r>
        <w:rPr>
          <w:rFonts w:hint="eastAsia" w:ascii="楷体_GB2312" w:hAnsi="楷体_GB2312" w:eastAsia="楷体_GB2312" w:cs="楷体_GB2312"/>
          <w:color w:val="000000"/>
          <w:kern w:val="32"/>
          <w:sz w:val="32"/>
          <w:szCs w:val="32"/>
          <w:lang w:val="en-US" w:eastAsia="zh-CN"/>
        </w:rPr>
        <w:t>海洋发展局</w:t>
      </w:r>
      <w:r>
        <w:rPr>
          <w:rFonts w:hint="eastAsia" w:ascii="楷体_GB2312" w:hAnsi="楷体_GB2312" w:eastAsia="楷体_GB2312" w:cs="楷体_GB2312"/>
          <w:color w:val="000000"/>
          <w:kern w:val="32"/>
          <w:sz w:val="32"/>
          <w:szCs w:val="32"/>
        </w:rPr>
        <w:t>，各</w:t>
      </w:r>
      <w:r>
        <w:rPr>
          <w:rFonts w:hint="eastAsia" w:ascii="楷体_GB2312" w:hAnsi="楷体" w:eastAsia="楷体_GB2312" w:cs="Times New Roman"/>
          <w:color w:val="000000"/>
          <w:kern w:val="32"/>
          <w:sz w:val="32"/>
          <w:szCs w:val="32"/>
        </w:rPr>
        <w:t>街道（镇）、</w:t>
      </w:r>
      <w:r>
        <w:rPr>
          <w:rFonts w:hint="eastAsia" w:ascii="楷体_GB2312" w:hAnsi="楷体_GB2312" w:eastAsia="楷体_GB2312" w:cs="楷体_GB2312"/>
          <w:sz w:val="32"/>
          <w:szCs w:val="32"/>
        </w:rPr>
        <w:t>有关</w:t>
      </w:r>
      <w:r>
        <w:rPr>
          <w:rFonts w:hint="eastAsia" w:ascii="楷体_GB2312" w:hAnsi="楷体_GB2312" w:eastAsia="楷体_GB2312" w:cs="楷体_GB2312"/>
          <w:sz w:val="32"/>
          <w:szCs w:val="32"/>
          <w:lang w:val="en-US" w:eastAsia="zh-CN"/>
        </w:rPr>
        <w:t>部门（单位）；完成时限：12月底前</w:t>
      </w:r>
      <w:r>
        <w:rPr>
          <w:rFonts w:hint="eastAsia" w:ascii="楷体_GB2312" w:hAnsi="楷体_GB2312" w:eastAsia="楷体_GB2312" w:cs="楷体_GB2312"/>
          <w:color w:val="000000"/>
          <w:kern w:val="32"/>
          <w:sz w:val="32"/>
          <w:szCs w:val="32"/>
        </w:rPr>
        <w:t>）</w:t>
      </w:r>
    </w:p>
    <w:p>
      <w:pPr>
        <w:keepNext w:val="0"/>
        <w:keepLines w:val="0"/>
        <w:pageBreakBefore w:val="0"/>
        <w:widowControl w:val="0"/>
        <w:kinsoku/>
        <w:wordWrap/>
        <w:overflowPunct/>
        <w:topLinePunct/>
        <w:autoSpaceDE/>
        <w:autoSpaceDN/>
        <w:bidi w:val="0"/>
        <w:adjustRightInd/>
        <w:snapToGrid/>
        <w:spacing w:line="240" w:lineRule="auto"/>
        <w:ind w:left="0" w:right="0" w:firstLine="632" w:firstLineChars="200"/>
        <w:textAlignment w:val="auto"/>
        <w:rPr>
          <w:rFonts w:hint="eastAsia" w:ascii="仿宋_GB2312" w:hAnsi="Times New Roman" w:eastAsia="仿宋_GB2312" w:cs="Times New Roman"/>
          <w:color w:val="000000"/>
          <w:kern w:val="32"/>
          <w:sz w:val="32"/>
          <w:szCs w:val="32"/>
          <w:lang w:eastAsia="zh-CN"/>
        </w:rPr>
      </w:pPr>
      <w:r>
        <w:rPr>
          <w:rFonts w:hint="eastAsia" w:ascii="仿宋_GB2312" w:hAnsi="Times New Roman" w:eastAsia="仿宋_GB2312" w:cs="Times New Roman"/>
          <w:color w:val="000000"/>
          <w:kern w:val="32"/>
          <w:sz w:val="32"/>
          <w:szCs w:val="32"/>
        </w:rPr>
        <w:t>各街道（镇）、有关</w:t>
      </w:r>
      <w:r>
        <w:rPr>
          <w:rFonts w:hint="eastAsia" w:ascii="仿宋_GB2312" w:hAnsi="Times New Roman" w:eastAsia="仿宋_GB2312" w:cs="Times New Roman"/>
          <w:color w:val="000000"/>
          <w:kern w:val="32"/>
          <w:sz w:val="32"/>
          <w:szCs w:val="32"/>
          <w:lang w:val="en-US" w:eastAsia="zh-CN"/>
        </w:rPr>
        <w:t>部门（单位）</w:t>
      </w:r>
      <w:r>
        <w:rPr>
          <w:rFonts w:hint="eastAsia" w:ascii="仿宋_GB2312" w:hAnsi="Times New Roman" w:eastAsia="仿宋_GB2312" w:cs="Times New Roman"/>
          <w:color w:val="000000"/>
          <w:kern w:val="32"/>
          <w:sz w:val="32"/>
          <w:szCs w:val="32"/>
        </w:rPr>
        <w:t>要认真贯彻本计划要求，结合实际制定</w:t>
      </w:r>
      <w:r>
        <w:rPr>
          <w:rFonts w:hint="eastAsia" w:ascii="仿宋_GB2312" w:hAnsi="Times New Roman" w:eastAsia="仿宋_GB2312" w:cs="Times New Roman"/>
          <w:color w:val="000000"/>
          <w:kern w:val="32"/>
          <w:sz w:val="32"/>
          <w:szCs w:val="32"/>
          <w:lang w:val="en-US" w:eastAsia="zh-CN"/>
        </w:rPr>
        <w:t>各自</w:t>
      </w:r>
      <w:r>
        <w:rPr>
          <w:rFonts w:hint="eastAsia" w:ascii="仿宋_GB2312" w:hAnsi="Times New Roman" w:eastAsia="仿宋_GB2312" w:cs="Times New Roman"/>
          <w:color w:val="000000"/>
          <w:kern w:val="32"/>
          <w:sz w:val="32"/>
          <w:szCs w:val="32"/>
        </w:rPr>
        <w:t>年度工作计划，进一步明确分工、压实责任，并按规定落实法治政府建设年度报告制度。</w:t>
      </w:r>
      <w:r>
        <w:rPr>
          <w:rFonts w:hint="eastAsia" w:ascii="仿宋_GB2312" w:hAnsi="Times New Roman" w:eastAsia="仿宋_GB2312" w:cs="Times New Roman"/>
          <w:color w:val="000000"/>
          <w:kern w:val="32"/>
          <w:sz w:val="32"/>
          <w:szCs w:val="32"/>
          <w:lang w:val="en-US" w:eastAsia="zh-CN"/>
        </w:rPr>
        <w:t>工</w:t>
      </w:r>
      <w:r>
        <w:rPr>
          <w:rFonts w:hint="eastAsia" w:ascii="仿宋_GB2312" w:hAnsi="Times New Roman" w:eastAsia="仿宋_GB2312" w:cs="Times New Roman"/>
          <w:color w:val="000000"/>
          <w:kern w:val="32"/>
          <w:sz w:val="32"/>
          <w:szCs w:val="32"/>
        </w:rPr>
        <w:t>委依法治</w:t>
      </w:r>
      <w:r>
        <w:rPr>
          <w:rFonts w:hint="eastAsia" w:ascii="仿宋_GB2312" w:hAnsi="Times New Roman" w:eastAsia="仿宋_GB2312" w:cs="Times New Roman"/>
          <w:color w:val="000000"/>
          <w:kern w:val="32"/>
          <w:sz w:val="32"/>
          <w:szCs w:val="32"/>
          <w:lang w:val="en-US" w:eastAsia="zh-CN"/>
        </w:rPr>
        <w:t>区</w:t>
      </w:r>
      <w:r>
        <w:rPr>
          <w:rFonts w:hint="eastAsia" w:ascii="仿宋_GB2312" w:hAnsi="Times New Roman" w:eastAsia="仿宋_GB2312" w:cs="Times New Roman"/>
          <w:color w:val="000000"/>
          <w:kern w:val="32"/>
          <w:sz w:val="32"/>
          <w:szCs w:val="32"/>
        </w:rPr>
        <w:t>办要抓好统筹协调，充分运用好常态化法治督察工作机制，定期调度工作进展，督促压紧压实责任，确保工作计划任务落实落地</w:t>
      </w:r>
      <w:r>
        <w:rPr>
          <w:rFonts w:hint="eastAsia" w:ascii="仿宋_GB2312" w:hAnsi="Times New Roman" w:eastAsia="仿宋_GB2312" w:cs="Times New Roman"/>
          <w:color w:val="000000"/>
          <w:kern w:val="3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 w:hAnsi="仿宋" w:eastAsia="仿宋" w:cs="仿宋"/>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316" w:rightChars="1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316" w:rightChars="100"/>
        <w:textAlignment w:val="auto"/>
        <w:rPr>
          <w:rFonts w:hint="eastAsia"/>
          <w:sz w:val="32"/>
          <w:szCs w:val="32"/>
        </w:rPr>
      </w:pPr>
    </w:p>
    <w:p>
      <w:pPr>
        <w:pStyle w:val="26"/>
        <w:rPr>
          <w:rFonts w:hint="eastAsia"/>
          <w:sz w:val="32"/>
          <w:szCs w:val="32"/>
        </w:rPr>
      </w:pPr>
    </w:p>
    <w:p>
      <w:pPr>
        <w:pStyle w:val="26"/>
        <w:rPr>
          <w:rFonts w:hint="eastAsia"/>
          <w:sz w:val="32"/>
          <w:szCs w:val="32"/>
        </w:rPr>
      </w:pPr>
    </w:p>
    <w:p>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eastAsia"/>
        </w:rPr>
      </w:pPr>
    </w:p>
    <w:p>
      <w:pPr>
        <w:ind w:left="1144" w:leftChars="100" w:right="316" w:rightChars="100" w:hanging="828" w:hangingChars="300"/>
        <w:rPr>
          <w:rFonts w:hint="eastAsia" w:eastAsia="仿宋_GB2312"/>
          <w:sz w:val="28"/>
          <w:szCs w:val="28"/>
          <w:lang w:val="en-US" w:eastAsia="zh-CN"/>
        </w:rPr>
      </w:pPr>
      <w:r>
        <w:rPr>
          <w:rFonts w:hint="eastAsia"/>
          <w:sz w:val="28"/>
          <w:szCs w:val="28"/>
        </w:rPr>
        <w:t>信息公开选项：</w:t>
      </w:r>
      <w:r>
        <w:rPr>
          <w:rFonts w:hint="eastAsia"/>
          <w:sz w:val="28"/>
          <w:szCs w:val="28"/>
          <w:lang w:eastAsia="zh-CN"/>
        </w:rPr>
        <w:t>主动</w:t>
      </w:r>
      <w:bookmarkStart w:id="0" w:name="_GoBack"/>
      <w:bookmarkEnd w:id="0"/>
      <w:r>
        <w:rPr>
          <w:rFonts w:hint="eastAsia"/>
          <w:sz w:val="28"/>
          <w:szCs w:val="28"/>
          <w:lang w:eastAsia="zh-CN"/>
        </w:rPr>
        <w:t>公开</w:t>
      </w:r>
    </w:p>
    <w:p>
      <w:pPr>
        <w:ind w:left="1264" w:leftChars="100" w:right="316" w:rightChars="100" w:hanging="948" w:hangingChars="300"/>
        <w:rPr>
          <w:rFonts w:hint="eastAsia"/>
        </w:rPr>
      </w:pPr>
      <w:r>
        <w:rPr>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367665</wp:posOffset>
                </wp:positionV>
                <wp:extent cx="5615940" cy="0"/>
                <wp:effectExtent l="0" t="0" r="0" b="0"/>
                <wp:wrapNone/>
                <wp:docPr id="4" name="直线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28.95pt;height:0pt;width:442.2pt;z-index:251662336;mso-width-relative:page;mso-height-relative:page;" filled="f" stroked="t" coordsize="21600,21600" o:gfxdata="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dLh&#10;atQAAAAGAQAADwAAAAAAAAABACAAAAAiAAAAZHJzL2Rvd25yZXYueG1sUEsBAhQAFAAAAAgAh07i&#10;QMimPf3tAQAA6QMAAA4AAAAAAAAAAQAgAAAAIwEAAGRycy9lMm9Eb2MueG1sUEsFBgAAAAAGAAYA&#10;WQEAAIIFAAAAAA==&#10;">
                <v:fill on="f" focussize="0,0"/>
                <v:stroke color="#000000" joinstyle="round"/>
                <v:imagedata o:title=""/>
                <o:lock v:ext="edit" aspectratio="f"/>
              </v:line>
            </w:pict>
          </mc:Fallback>
        </mc:AlternateContent>
      </w:r>
      <w:r>
        <w:rPr>
          <w:rFonts w:ascii="仿宋_GB2312"/>
          <w:sz w:val="28"/>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0" r="0" b="0"/>
                <wp:wrapNone/>
                <wp:docPr id="3" name="直线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0pt;height:0pt;width:442.2pt;z-index:251661312;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hwzWbS&#10;AAAAAgEAAA8AAAAAAAAAAQAgAAAAIgAAAGRycy9kb3ducmV2LnhtbFBLAQIUABQAAAAIAIdO4kDB&#10;ktE47QEAAOkDAAAOAAAAAAAAAAEAIAAAACEBAABkcnMvZTJvRG9jLnhtbFBLBQYAAAAABgAGAFkB&#10;AACABQAAAAA=&#10;">
                <v:fill on="f" focussize="0,0"/>
                <v:stroke color="#000000" joinstyle="round"/>
                <v:imagedata o:title=""/>
                <o:lock v:ext="edit" aspectratio="f"/>
              </v:line>
            </w:pict>
          </mc:Fallback>
        </mc:AlternateContent>
      </w:r>
      <w:r>
        <w:rPr>
          <w:rFonts w:hint="eastAsia" w:ascii="仿宋_GB2312"/>
          <w:sz w:val="28"/>
          <w:szCs w:val="32"/>
        </w:rPr>
        <w:t>烟台</w:t>
      </w:r>
      <w:r>
        <w:rPr>
          <w:rFonts w:hint="eastAsia" w:ascii="仿宋_GB2312"/>
          <w:sz w:val="28"/>
          <w:szCs w:val="32"/>
          <w:lang w:eastAsia="zh-CN"/>
        </w:rPr>
        <w:t>黄渤海新区</w:t>
      </w:r>
      <w:r>
        <w:rPr>
          <w:rFonts w:hint="eastAsia" w:ascii="仿宋_GB2312"/>
          <w:sz w:val="28"/>
          <w:szCs w:val="32"/>
        </w:rPr>
        <w:t>管委办公室</w:t>
      </w:r>
      <w:r>
        <w:rPr>
          <w:rFonts w:hint="eastAsia" w:ascii="仿宋_GB2312"/>
          <w:sz w:val="28"/>
          <w:szCs w:val="32"/>
          <w:lang w:eastAsia="zh-CN"/>
        </w:rPr>
        <w:t xml:space="preserve">              </w:t>
      </w:r>
      <w:r>
        <w:rPr>
          <w:rFonts w:hint="eastAsia" w:ascii="仿宋_GB2312"/>
          <w:sz w:val="28"/>
          <w:szCs w:val="32"/>
          <w:lang w:val="en-US" w:eastAsia="zh-CN"/>
        </w:rPr>
        <w:t xml:space="preserve"> </w:t>
      </w:r>
      <w:r>
        <w:rPr>
          <w:rFonts w:hint="eastAsia" w:ascii="仿宋_GB2312"/>
          <w:sz w:val="28"/>
          <w:szCs w:val="32"/>
        </w:rPr>
        <w:t xml:space="preserve"> 20</w:t>
      </w:r>
      <w:r>
        <w:rPr>
          <w:rFonts w:hint="eastAsia" w:ascii="仿宋_GB2312"/>
          <w:sz w:val="28"/>
          <w:szCs w:val="32"/>
          <w:lang w:val="en-US" w:eastAsia="zh-CN"/>
        </w:rPr>
        <w:t>24</w:t>
      </w:r>
      <w:r>
        <w:rPr>
          <w:rFonts w:hint="eastAsia" w:ascii="仿宋_GB2312"/>
          <w:sz w:val="28"/>
          <w:szCs w:val="32"/>
        </w:rPr>
        <w:t>年</w:t>
      </w:r>
      <w:r>
        <w:rPr>
          <w:rFonts w:hint="eastAsia" w:ascii="仿宋_GB2312"/>
          <w:sz w:val="28"/>
          <w:szCs w:val="32"/>
          <w:lang w:val="en-US" w:eastAsia="zh-CN"/>
        </w:rPr>
        <w:t>6</w:t>
      </w:r>
      <w:r>
        <w:rPr>
          <w:rFonts w:hint="eastAsia" w:ascii="仿宋_GB2312"/>
          <w:sz w:val="28"/>
          <w:szCs w:val="32"/>
        </w:rPr>
        <w:t>月</w:t>
      </w:r>
      <w:r>
        <w:rPr>
          <w:rFonts w:hint="eastAsia" w:ascii="仿宋_GB2312"/>
          <w:sz w:val="28"/>
          <w:szCs w:val="32"/>
          <w:lang w:val="en-US" w:eastAsia="zh-CN"/>
        </w:rPr>
        <w:t>28</w:t>
      </w:r>
      <w:r>
        <w:rPr>
          <w:rFonts w:hint="eastAsia" w:ascii="仿宋_GB2312"/>
          <w:sz w:val="28"/>
          <w:szCs w:val="32"/>
        </w:rPr>
        <w:t>日印发</w:t>
      </w:r>
    </w:p>
    <w:sectPr>
      <w:pgSz w:w="11906" w:h="16838"/>
      <w:pgMar w:top="2098" w:right="1531" w:bottom="1984" w:left="1531" w:header="851" w:footer="158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方正粗宋简体"/>
    <w:panose1 w:val="03000509000000000000"/>
    <w:charset w:val="86"/>
    <w:family w:val="script"/>
    <w:pitch w:val="default"/>
    <w:sig w:usb0="00000000" w:usb1="00000000" w:usb2="00000010" w:usb3="00000000" w:csb0="00040000" w:csb1="00000000"/>
  </w:font>
  <w:font w:name="方正粗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TNjOGMyNjdiNGU0YzQ3MWVkNzRhMDQwM2FkZGIifQ=="/>
  </w:docVars>
  <w:rsids>
    <w:rsidRoot w:val="008B7786"/>
    <w:rsid w:val="00010AB1"/>
    <w:rsid w:val="000169A0"/>
    <w:rsid w:val="00017BA8"/>
    <w:rsid w:val="00024431"/>
    <w:rsid w:val="00030D79"/>
    <w:rsid w:val="00041477"/>
    <w:rsid w:val="00052FC9"/>
    <w:rsid w:val="0005500E"/>
    <w:rsid w:val="00070182"/>
    <w:rsid w:val="00072C02"/>
    <w:rsid w:val="00073727"/>
    <w:rsid w:val="00075437"/>
    <w:rsid w:val="000811F5"/>
    <w:rsid w:val="00085488"/>
    <w:rsid w:val="00095A31"/>
    <w:rsid w:val="000A08EB"/>
    <w:rsid w:val="000B4430"/>
    <w:rsid w:val="000C44EC"/>
    <w:rsid w:val="000C4D3D"/>
    <w:rsid w:val="000C4DFA"/>
    <w:rsid w:val="000C6CA4"/>
    <w:rsid w:val="000D3170"/>
    <w:rsid w:val="000D36BF"/>
    <w:rsid w:val="000D46E3"/>
    <w:rsid w:val="000E5B6E"/>
    <w:rsid w:val="000F6F43"/>
    <w:rsid w:val="00103867"/>
    <w:rsid w:val="0010449D"/>
    <w:rsid w:val="00106E10"/>
    <w:rsid w:val="00106FB6"/>
    <w:rsid w:val="00114A7F"/>
    <w:rsid w:val="00123674"/>
    <w:rsid w:val="001273DA"/>
    <w:rsid w:val="0013251A"/>
    <w:rsid w:val="00136529"/>
    <w:rsid w:val="00136D2A"/>
    <w:rsid w:val="001379FE"/>
    <w:rsid w:val="00142BA2"/>
    <w:rsid w:val="00153210"/>
    <w:rsid w:val="00170808"/>
    <w:rsid w:val="00174E43"/>
    <w:rsid w:val="001772F3"/>
    <w:rsid w:val="00187E43"/>
    <w:rsid w:val="0019204B"/>
    <w:rsid w:val="0019493D"/>
    <w:rsid w:val="001A4E62"/>
    <w:rsid w:val="001B7051"/>
    <w:rsid w:val="001C08C6"/>
    <w:rsid w:val="001C0AF5"/>
    <w:rsid w:val="001C35EB"/>
    <w:rsid w:val="001C4E27"/>
    <w:rsid w:val="001C6AA0"/>
    <w:rsid w:val="001E042E"/>
    <w:rsid w:val="001E289F"/>
    <w:rsid w:val="001E313A"/>
    <w:rsid w:val="001F1E57"/>
    <w:rsid w:val="002027E8"/>
    <w:rsid w:val="00204DF0"/>
    <w:rsid w:val="0020568D"/>
    <w:rsid w:val="002078AE"/>
    <w:rsid w:val="002102BB"/>
    <w:rsid w:val="0021113E"/>
    <w:rsid w:val="00213774"/>
    <w:rsid w:val="002139BC"/>
    <w:rsid w:val="002154A4"/>
    <w:rsid w:val="00220D44"/>
    <w:rsid w:val="0022257C"/>
    <w:rsid w:val="00232109"/>
    <w:rsid w:val="0025135F"/>
    <w:rsid w:val="002532EB"/>
    <w:rsid w:val="002559BC"/>
    <w:rsid w:val="002744D9"/>
    <w:rsid w:val="00274E44"/>
    <w:rsid w:val="00297E0D"/>
    <w:rsid w:val="002C2E9B"/>
    <w:rsid w:val="002C4A49"/>
    <w:rsid w:val="002D3A60"/>
    <w:rsid w:val="002D41FD"/>
    <w:rsid w:val="002F2ABD"/>
    <w:rsid w:val="002F5A5A"/>
    <w:rsid w:val="00307089"/>
    <w:rsid w:val="003137BD"/>
    <w:rsid w:val="00316A2E"/>
    <w:rsid w:val="00331399"/>
    <w:rsid w:val="00332127"/>
    <w:rsid w:val="003326E7"/>
    <w:rsid w:val="0034465A"/>
    <w:rsid w:val="00345B67"/>
    <w:rsid w:val="00345D7F"/>
    <w:rsid w:val="00351272"/>
    <w:rsid w:val="0036046B"/>
    <w:rsid w:val="00373ABD"/>
    <w:rsid w:val="003808C2"/>
    <w:rsid w:val="00381F0F"/>
    <w:rsid w:val="00384626"/>
    <w:rsid w:val="0038633B"/>
    <w:rsid w:val="003951D9"/>
    <w:rsid w:val="003960D7"/>
    <w:rsid w:val="0039710E"/>
    <w:rsid w:val="0039717A"/>
    <w:rsid w:val="003A1118"/>
    <w:rsid w:val="003A2189"/>
    <w:rsid w:val="003A28B2"/>
    <w:rsid w:val="003A58ED"/>
    <w:rsid w:val="003B17CC"/>
    <w:rsid w:val="003C0E2D"/>
    <w:rsid w:val="003C256C"/>
    <w:rsid w:val="003C485B"/>
    <w:rsid w:val="003C6916"/>
    <w:rsid w:val="003D6247"/>
    <w:rsid w:val="003E47A1"/>
    <w:rsid w:val="003E5E3B"/>
    <w:rsid w:val="003F60C3"/>
    <w:rsid w:val="00401B74"/>
    <w:rsid w:val="00403BC0"/>
    <w:rsid w:val="00411B8B"/>
    <w:rsid w:val="00413902"/>
    <w:rsid w:val="00413A06"/>
    <w:rsid w:val="0041564B"/>
    <w:rsid w:val="00415B86"/>
    <w:rsid w:val="00415D94"/>
    <w:rsid w:val="00420925"/>
    <w:rsid w:val="004316F2"/>
    <w:rsid w:val="004436FB"/>
    <w:rsid w:val="00443715"/>
    <w:rsid w:val="0045066E"/>
    <w:rsid w:val="00460B25"/>
    <w:rsid w:val="00476A55"/>
    <w:rsid w:val="00480C7B"/>
    <w:rsid w:val="00481B9B"/>
    <w:rsid w:val="004852C3"/>
    <w:rsid w:val="0048606C"/>
    <w:rsid w:val="0049061E"/>
    <w:rsid w:val="004943B0"/>
    <w:rsid w:val="004952BA"/>
    <w:rsid w:val="004A0018"/>
    <w:rsid w:val="004A2F80"/>
    <w:rsid w:val="004A6760"/>
    <w:rsid w:val="004B3D70"/>
    <w:rsid w:val="004B4374"/>
    <w:rsid w:val="004C2140"/>
    <w:rsid w:val="004C2436"/>
    <w:rsid w:val="004C309E"/>
    <w:rsid w:val="004D0BAD"/>
    <w:rsid w:val="004D6A2F"/>
    <w:rsid w:val="004D6B0C"/>
    <w:rsid w:val="004D79D4"/>
    <w:rsid w:val="004E0B5F"/>
    <w:rsid w:val="004E6879"/>
    <w:rsid w:val="004F0E32"/>
    <w:rsid w:val="004F1FFA"/>
    <w:rsid w:val="004F30E4"/>
    <w:rsid w:val="004F5424"/>
    <w:rsid w:val="00501877"/>
    <w:rsid w:val="00504B76"/>
    <w:rsid w:val="005051DF"/>
    <w:rsid w:val="0053130B"/>
    <w:rsid w:val="00534A37"/>
    <w:rsid w:val="0054409C"/>
    <w:rsid w:val="005441FB"/>
    <w:rsid w:val="005461D0"/>
    <w:rsid w:val="00547AE3"/>
    <w:rsid w:val="00555A2F"/>
    <w:rsid w:val="00561BEB"/>
    <w:rsid w:val="00567706"/>
    <w:rsid w:val="005716E0"/>
    <w:rsid w:val="00571888"/>
    <w:rsid w:val="0057581F"/>
    <w:rsid w:val="00580894"/>
    <w:rsid w:val="0058263C"/>
    <w:rsid w:val="00582F6F"/>
    <w:rsid w:val="005858AF"/>
    <w:rsid w:val="005A40CA"/>
    <w:rsid w:val="005B0EF3"/>
    <w:rsid w:val="005E104C"/>
    <w:rsid w:val="005E3D12"/>
    <w:rsid w:val="005E61B4"/>
    <w:rsid w:val="005F14ED"/>
    <w:rsid w:val="005F4349"/>
    <w:rsid w:val="005F53B2"/>
    <w:rsid w:val="006132DB"/>
    <w:rsid w:val="00615B78"/>
    <w:rsid w:val="00617996"/>
    <w:rsid w:val="0062047B"/>
    <w:rsid w:val="00621CFF"/>
    <w:rsid w:val="006264BB"/>
    <w:rsid w:val="0065763F"/>
    <w:rsid w:val="0067018E"/>
    <w:rsid w:val="00671D61"/>
    <w:rsid w:val="006915B8"/>
    <w:rsid w:val="006956FD"/>
    <w:rsid w:val="006A1FE8"/>
    <w:rsid w:val="006A519B"/>
    <w:rsid w:val="006B0E87"/>
    <w:rsid w:val="006B3D0E"/>
    <w:rsid w:val="006B51AB"/>
    <w:rsid w:val="006C0FFB"/>
    <w:rsid w:val="006C269A"/>
    <w:rsid w:val="006C7932"/>
    <w:rsid w:val="006E1C85"/>
    <w:rsid w:val="006E325F"/>
    <w:rsid w:val="00700B88"/>
    <w:rsid w:val="0070445B"/>
    <w:rsid w:val="00710DAC"/>
    <w:rsid w:val="007116F1"/>
    <w:rsid w:val="00720828"/>
    <w:rsid w:val="00741A6F"/>
    <w:rsid w:val="00746429"/>
    <w:rsid w:val="007475FA"/>
    <w:rsid w:val="00753137"/>
    <w:rsid w:val="00762713"/>
    <w:rsid w:val="007635BF"/>
    <w:rsid w:val="00767F27"/>
    <w:rsid w:val="00787BF4"/>
    <w:rsid w:val="00787E06"/>
    <w:rsid w:val="0079442F"/>
    <w:rsid w:val="00794C35"/>
    <w:rsid w:val="007A0FEC"/>
    <w:rsid w:val="007B0FC3"/>
    <w:rsid w:val="007B13DE"/>
    <w:rsid w:val="007B7ABF"/>
    <w:rsid w:val="007D1061"/>
    <w:rsid w:val="007D3F89"/>
    <w:rsid w:val="007D599D"/>
    <w:rsid w:val="007E1492"/>
    <w:rsid w:val="007E2E9E"/>
    <w:rsid w:val="007E3B76"/>
    <w:rsid w:val="007F4050"/>
    <w:rsid w:val="007F4628"/>
    <w:rsid w:val="0080712B"/>
    <w:rsid w:val="00831B76"/>
    <w:rsid w:val="00832567"/>
    <w:rsid w:val="0083683F"/>
    <w:rsid w:val="00845E05"/>
    <w:rsid w:val="00865168"/>
    <w:rsid w:val="008676E9"/>
    <w:rsid w:val="00874C4B"/>
    <w:rsid w:val="00875BF3"/>
    <w:rsid w:val="00877893"/>
    <w:rsid w:val="008B644A"/>
    <w:rsid w:val="008B6E86"/>
    <w:rsid w:val="008B7786"/>
    <w:rsid w:val="008C3638"/>
    <w:rsid w:val="008D284E"/>
    <w:rsid w:val="008D3851"/>
    <w:rsid w:val="008E0A35"/>
    <w:rsid w:val="008E5A99"/>
    <w:rsid w:val="008F0552"/>
    <w:rsid w:val="008F5124"/>
    <w:rsid w:val="00927428"/>
    <w:rsid w:val="00934645"/>
    <w:rsid w:val="0094799A"/>
    <w:rsid w:val="00950D8D"/>
    <w:rsid w:val="0095274F"/>
    <w:rsid w:val="00956F60"/>
    <w:rsid w:val="00961042"/>
    <w:rsid w:val="00963536"/>
    <w:rsid w:val="00967298"/>
    <w:rsid w:val="00973598"/>
    <w:rsid w:val="00984CEB"/>
    <w:rsid w:val="009903F2"/>
    <w:rsid w:val="009A1319"/>
    <w:rsid w:val="009B4EA7"/>
    <w:rsid w:val="009B7562"/>
    <w:rsid w:val="009C0A70"/>
    <w:rsid w:val="009D314E"/>
    <w:rsid w:val="009E07ED"/>
    <w:rsid w:val="009E6675"/>
    <w:rsid w:val="009F7502"/>
    <w:rsid w:val="00A05AFF"/>
    <w:rsid w:val="00A10024"/>
    <w:rsid w:val="00A142A7"/>
    <w:rsid w:val="00A15BD1"/>
    <w:rsid w:val="00A15BF2"/>
    <w:rsid w:val="00A161A7"/>
    <w:rsid w:val="00A17631"/>
    <w:rsid w:val="00A3060C"/>
    <w:rsid w:val="00A3468F"/>
    <w:rsid w:val="00A52FB2"/>
    <w:rsid w:val="00A53161"/>
    <w:rsid w:val="00A53183"/>
    <w:rsid w:val="00A54EFF"/>
    <w:rsid w:val="00A57370"/>
    <w:rsid w:val="00A629AD"/>
    <w:rsid w:val="00A754B2"/>
    <w:rsid w:val="00A842BD"/>
    <w:rsid w:val="00A9627B"/>
    <w:rsid w:val="00A96288"/>
    <w:rsid w:val="00AA082A"/>
    <w:rsid w:val="00AA2E83"/>
    <w:rsid w:val="00AA3329"/>
    <w:rsid w:val="00AB3D14"/>
    <w:rsid w:val="00AC139D"/>
    <w:rsid w:val="00AC152F"/>
    <w:rsid w:val="00AC5275"/>
    <w:rsid w:val="00AD6D7D"/>
    <w:rsid w:val="00AE3ABF"/>
    <w:rsid w:val="00AF255F"/>
    <w:rsid w:val="00AF2D4D"/>
    <w:rsid w:val="00AF495D"/>
    <w:rsid w:val="00AF4FF6"/>
    <w:rsid w:val="00B0382D"/>
    <w:rsid w:val="00B07615"/>
    <w:rsid w:val="00B10F91"/>
    <w:rsid w:val="00B15D6D"/>
    <w:rsid w:val="00B21E61"/>
    <w:rsid w:val="00B35046"/>
    <w:rsid w:val="00B36003"/>
    <w:rsid w:val="00B4030C"/>
    <w:rsid w:val="00B50934"/>
    <w:rsid w:val="00B63C5C"/>
    <w:rsid w:val="00B81943"/>
    <w:rsid w:val="00B861FD"/>
    <w:rsid w:val="00B97261"/>
    <w:rsid w:val="00BA2045"/>
    <w:rsid w:val="00BA363A"/>
    <w:rsid w:val="00BD0FF3"/>
    <w:rsid w:val="00BD3E9E"/>
    <w:rsid w:val="00BE3996"/>
    <w:rsid w:val="00BE6989"/>
    <w:rsid w:val="00BE6C2E"/>
    <w:rsid w:val="00BF299E"/>
    <w:rsid w:val="00BF3A59"/>
    <w:rsid w:val="00BF5D8D"/>
    <w:rsid w:val="00C049F5"/>
    <w:rsid w:val="00C1109F"/>
    <w:rsid w:val="00C12F1A"/>
    <w:rsid w:val="00C13530"/>
    <w:rsid w:val="00C16A7A"/>
    <w:rsid w:val="00C32510"/>
    <w:rsid w:val="00C3256A"/>
    <w:rsid w:val="00C339AC"/>
    <w:rsid w:val="00C429C3"/>
    <w:rsid w:val="00C65593"/>
    <w:rsid w:val="00C67E92"/>
    <w:rsid w:val="00C70A72"/>
    <w:rsid w:val="00C7192A"/>
    <w:rsid w:val="00C74006"/>
    <w:rsid w:val="00C761D0"/>
    <w:rsid w:val="00C80F63"/>
    <w:rsid w:val="00C8267D"/>
    <w:rsid w:val="00C855D4"/>
    <w:rsid w:val="00C922A6"/>
    <w:rsid w:val="00C973ED"/>
    <w:rsid w:val="00CA2457"/>
    <w:rsid w:val="00CB746F"/>
    <w:rsid w:val="00CC1815"/>
    <w:rsid w:val="00CC3E62"/>
    <w:rsid w:val="00CC41D8"/>
    <w:rsid w:val="00CD0D31"/>
    <w:rsid w:val="00CD1DEB"/>
    <w:rsid w:val="00CD6877"/>
    <w:rsid w:val="00CE1F10"/>
    <w:rsid w:val="00CF74ED"/>
    <w:rsid w:val="00CF7663"/>
    <w:rsid w:val="00D02D4C"/>
    <w:rsid w:val="00D05B4D"/>
    <w:rsid w:val="00D1598E"/>
    <w:rsid w:val="00D16CB7"/>
    <w:rsid w:val="00D21106"/>
    <w:rsid w:val="00D24E37"/>
    <w:rsid w:val="00D33985"/>
    <w:rsid w:val="00D50F9A"/>
    <w:rsid w:val="00D5555F"/>
    <w:rsid w:val="00D56413"/>
    <w:rsid w:val="00D64F6B"/>
    <w:rsid w:val="00D73151"/>
    <w:rsid w:val="00D84AC3"/>
    <w:rsid w:val="00D8656E"/>
    <w:rsid w:val="00D90D2C"/>
    <w:rsid w:val="00D964FF"/>
    <w:rsid w:val="00DA1C83"/>
    <w:rsid w:val="00DB18EF"/>
    <w:rsid w:val="00DB26A4"/>
    <w:rsid w:val="00DB47B7"/>
    <w:rsid w:val="00DC52E5"/>
    <w:rsid w:val="00DC5E34"/>
    <w:rsid w:val="00DD5D6A"/>
    <w:rsid w:val="00DE33F3"/>
    <w:rsid w:val="00DE3E36"/>
    <w:rsid w:val="00DE6443"/>
    <w:rsid w:val="00DF7640"/>
    <w:rsid w:val="00E03E5E"/>
    <w:rsid w:val="00E04F49"/>
    <w:rsid w:val="00E24B91"/>
    <w:rsid w:val="00E25193"/>
    <w:rsid w:val="00E32CA7"/>
    <w:rsid w:val="00E3368A"/>
    <w:rsid w:val="00E36DFE"/>
    <w:rsid w:val="00E41ADF"/>
    <w:rsid w:val="00E4313B"/>
    <w:rsid w:val="00E47075"/>
    <w:rsid w:val="00E529DC"/>
    <w:rsid w:val="00E53A20"/>
    <w:rsid w:val="00E569A4"/>
    <w:rsid w:val="00E75947"/>
    <w:rsid w:val="00E83DBE"/>
    <w:rsid w:val="00E863EF"/>
    <w:rsid w:val="00E86D5A"/>
    <w:rsid w:val="00E87090"/>
    <w:rsid w:val="00E935AA"/>
    <w:rsid w:val="00E94FC0"/>
    <w:rsid w:val="00EA090B"/>
    <w:rsid w:val="00EB0534"/>
    <w:rsid w:val="00EB20B2"/>
    <w:rsid w:val="00EB2558"/>
    <w:rsid w:val="00EB43B8"/>
    <w:rsid w:val="00EB63EB"/>
    <w:rsid w:val="00EC77F5"/>
    <w:rsid w:val="00ED47AB"/>
    <w:rsid w:val="00EE460A"/>
    <w:rsid w:val="00EE5294"/>
    <w:rsid w:val="00EF1D54"/>
    <w:rsid w:val="00F02438"/>
    <w:rsid w:val="00F0342A"/>
    <w:rsid w:val="00F03B13"/>
    <w:rsid w:val="00F06661"/>
    <w:rsid w:val="00F22969"/>
    <w:rsid w:val="00F30282"/>
    <w:rsid w:val="00F30758"/>
    <w:rsid w:val="00F31BB3"/>
    <w:rsid w:val="00F40CAA"/>
    <w:rsid w:val="00F4346F"/>
    <w:rsid w:val="00F50BD8"/>
    <w:rsid w:val="00F56389"/>
    <w:rsid w:val="00F61301"/>
    <w:rsid w:val="00F613CE"/>
    <w:rsid w:val="00F66F37"/>
    <w:rsid w:val="00F671D3"/>
    <w:rsid w:val="00F8065C"/>
    <w:rsid w:val="00F81B5D"/>
    <w:rsid w:val="00F836B9"/>
    <w:rsid w:val="00F84A9F"/>
    <w:rsid w:val="00F96D61"/>
    <w:rsid w:val="00FA0316"/>
    <w:rsid w:val="00FA4971"/>
    <w:rsid w:val="00FB0B32"/>
    <w:rsid w:val="00FB3F33"/>
    <w:rsid w:val="00FB516E"/>
    <w:rsid w:val="00FC01DF"/>
    <w:rsid w:val="00FC0413"/>
    <w:rsid w:val="00FD2128"/>
    <w:rsid w:val="00FD4520"/>
    <w:rsid w:val="00FE6B72"/>
    <w:rsid w:val="00FE7101"/>
    <w:rsid w:val="00FF0236"/>
    <w:rsid w:val="00FF2607"/>
    <w:rsid w:val="02A0526D"/>
    <w:rsid w:val="02A122C9"/>
    <w:rsid w:val="02A96A9A"/>
    <w:rsid w:val="03504882"/>
    <w:rsid w:val="03820C6B"/>
    <w:rsid w:val="039E5B9E"/>
    <w:rsid w:val="044D14ED"/>
    <w:rsid w:val="044F35E5"/>
    <w:rsid w:val="04545C9A"/>
    <w:rsid w:val="04E45433"/>
    <w:rsid w:val="04EC08A4"/>
    <w:rsid w:val="05A37CCE"/>
    <w:rsid w:val="05AD141C"/>
    <w:rsid w:val="05EB4374"/>
    <w:rsid w:val="05EE60A3"/>
    <w:rsid w:val="063A426A"/>
    <w:rsid w:val="07435610"/>
    <w:rsid w:val="074763D2"/>
    <w:rsid w:val="07AD72C8"/>
    <w:rsid w:val="0984386B"/>
    <w:rsid w:val="09FB79E6"/>
    <w:rsid w:val="0A0658CC"/>
    <w:rsid w:val="0B1B3706"/>
    <w:rsid w:val="0B863106"/>
    <w:rsid w:val="0BF63EBB"/>
    <w:rsid w:val="0D5C01C7"/>
    <w:rsid w:val="0D62191D"/>
    <w:rsid w:val="0D91219D"/>
    <w:rsid w:val="0E2E72EA"/>
    <w:rsid w:val="0EE017DD"/>
    <w:rsid w:val="0F0E218B"/>
    <w:rsid w:val="0F724AB1"/>
    <w:rsid w:val="0F8E47D8"/>
    <w:rsid w:val="101B3A7B"/>
    <w:rsid w:val="108D5674"/>
    <w:rsid w:val="11893214"/>
    <w:rsid w:val="118C7D35"/>
    <w:rsid w:val="11E4027B"/>
    <w:rsid w:val="1276159A"/>
    <w:rsid w:val="12E43EE8"/>
    <w:rsid w:val="137C0539"/>
    <w:rsid w:val="13E44557"/>
    <w:rsid w:val="14374F1D"/>
    <w:rsid w:val="144E5218"/>
    <w:rsid w:val="149A3F01"/>
    <w:rsid w:val="14A81C23"/>
    <w:rsid w:val="153F786F"/>
    <w:rsid w:val="15AA5E63"/>
    <w:rsid w:val="16350294"/>
    <w:rsid w:val="16351F72"/>
    <w:rsid w:val="1664767B"/>
    <w:rsid w:val="16B6035B"/>
    <w:rsid w:val="16CC1E75"/>
    <w:rsid w:val="16F14FF5"/>
    <w:rsid w:val="16F37B36"/>
    <w:rsid w:val="175406D5"/>
    <w:rsid w:val="185D1942"/>
    <w:rsid w:val="186236C1"/>
    <w:rsid w:val="18B61352"/>
    <w:rsid w:val="18E9209F"/>
    <w:rsid w:val="18F94A09"/>
    <w:rsid w:val="19120980"/>
    <w:rsid w:val="19C749A6"/>
    <w:rsid w:val="19EF322F"/>
    <w:rsid w:val="19F67A29"/>
    <w:rsid w:val="1A063E6A"/>
    <w:rsid w:val="1A600B38"/>
    <w:rsid w:val="1B5A3B90"/>
    <w:rsid w:val="1BD52DA4"/>
    <w:rsid w:val="1BF64F23"/>
    <w:rsid w:val="1C1B767C"/>
    <w:rsid w:val="1C5F5841"/>
    <w:rsid w:val="1CA340B2"/>
    <w:rsid w:val="1D07533D"/>
    <w:rsid w:val="1D3D39B3"/>
    <w:rsid w:val="1D6704B0"/>
    <w:rsid w:val="1DCC1DD5"/>
    <w:rsid w:val="1DDB655F"/>
    <w:rsid w:val="1E736CB7"/>
    <w:rsid w:val="1EBD423F"/>
    <w:rsid w:val="1ED55C48"/>
    <w:rsid w:val="1EF37D35"/>
    <w:rsid w:val="1F264A2D"/>
    <w:rsid w:val="1F8C1214"/>
    <w:rsid w:val="1FC67E02"/>
    <w:rsid w:val="20746B0D"/>
    <w:rsid w:val="20FA7972"/>
    <w:rsid w:val="21491622"/>
    <w:rsid w:val="216D7D32"/>
    <w:rsid w:val="21773D3D"/>
    <w:rsid w:val="22621177"/>
    <w:rsid w:val="226F0986"/>
    <w:rsid w:val="22CD5C75"/>
    <w:rsid w:val="2507543C"/>
    <w:rsid w:val="2521637B"/>
    <w:rsid w:val="25245441"/>
    <w:rsid w:val="25601849"/>
    <w:rsid w:val="25F12274"/>
    <w:rsid w:val="261D4597"/>
    <w:rsid w:val="26B02E46"/>
    <w:rsid w:val="272F449B"/>
    <w:rsid w:val="274D6C6E"/>
    <w:rsid w:val="279F296A"/>
    <w:rsid w:val="27CA0D04"/>
    <w:rsid w:val="283A2B9E"/>
    <w:rsid w:val="2854458A"/>
    <w:rsid w:val="28A22C1D"/>
    <w:rsid w:val="28A828BE"/>
    <w:rsid w:val="28B0243C"/>
    <w:rsid w:val="290F4662"/>
    <w:rsid w:val="29230E58"/>
    <w:rsid w:val="292E30FC"/>
    <w:rsid w:val="294F7D50"/>
    <w:rsid w:val="299012A6"/>
    <w:rsid w:val="299B3C7E"/>
    <w:rsid w:val="29E3155D"/>
    <w:rsid w:val="2A054D89"/>
    <w:rsid w:val="2AB1252D"/>
    <w:rsid w:val="2AFC6824"/>
    <w:rsid w:val="2B0A2A32"/>
    <w:rsid w:val="2B136F3F"/>
    <w:rsid w:val="2B182AE7"/>
    <w:rsid w:val="2B285F4C"/>
    <w:rsid w:val="2B302E0E"/>
    <w:rsid w:val="2B6C773A"/>
    <w:rsid w:val="2C076EC2"/>
    <w:rsid w:val="2C1D3854"/>
    <w:rsid w:val="2C1E56AC"/>
    <w:rsid w:val="2C423C6A"/>
    <w:rsid w:val="2C487D66"/>
    <w:rsid w:val="2D370D62"/>
    <w:rsid w:val="2D6B1672"/>
    <w:rsid w:val="2E74677B"/>
    <w:rsid w:val="2E876392"/>
    <w:rsid w:val="2F905F0F"/>
    <w:rsid w:val="2FB379D2"/>
    <w:rsid w:val="30532CAD"/>
    <w:rsid w:val="306C04D0"/>
    <w:rsid w:val="31261D05"/>
    <w:rsid w:val="312C450A"/>
    <w:rsid w:val="31A73263"/>
    <w:rsid w:val="32FB097D"/>
    <w:rsid w:val="34170C5E"/>
    <w:rsid w:val="348D44BE"/>
    <w:rsid w:val="34BD092E"/>
    <w:rsid w:val="34FC4A07"/>
    <w:rsid w:val="350F0945"/>
    <w:rsid w:val="355D34C2"/>
    <w:rsid w:val="35BD3F7E"/>
    <w:rsid w:val="36A86E4F"/>
    <w:rsid w:val="36A87D08"/>
    <w:rsid w:val="36CC6D9B"/>
    <w:rsid w:val="36D8130C"/>
    <w:rsid w:val="37375A96"/>
    <w:rsid w:val="37536F29"/>
    <w:rsid w:val="379B0C82"/>
    <w:rsid w:val="380B66F0"/>
    <w:rsid w:val="38520B54"/>
    <w:rsid w:val="388C0782"/>
    <w:rsid w:val="38AB2CAD"/>
    <w:rsid w:val="3947463D"/>
    <w:rsid w:val="39B95F63"/>
    <w:rsid w:val="3A9D16E9"/>
    <w:rsid w:val="3ACF4911"/>
    <w:rsid w:val="3AEF6E26"/>
    <w:rsid w:val="3B677A33"/>
    <w:rsid w:val="3BD3752B"/>
    <w:rsid w:val="3BF42C55"/>
    <w:rsid w:val="3CAE5DFC"/>
    <w:rsid w:val="3CE00819"/>
    <w:rsid w:val="3CE410FB"/>
    <w:rsid w:val="3CF16D47"/>
    <w:rsid w:val="3CF86FD8"/>
    <w:rsid w:val="3E153F79"/>
    <w:rsid w:val="3F3D5906"/>
    <w:rsid w:val="409C60F2"/>
    <w:rsid w:val="40DF167D"/>
    <w:rsid w:val="41AB2792"/>
    <w:rsid w:val="41E128B6"/>
    <w:rsid w:val="422211DE"/>
    <w:rsid w:val="428F1165"/>
    <w:rsid w:val="4335097B"/>
    <w:rsid w:val="4336554F"/>
    <w:rsid w:val="436D554C"/>
    <w:rsid w:val="43DD32E8"/>
    <w:rsid w:val="43E576EF"/>
    <w:rsid w:val="43F671D1"/>
    <w:rsid w:val="442946B1"/>
    <w:rsid w:val="44722446"/>
    <w:rsid w:val="4485200B"/>
    <w:rsid w:val="459C6DF4"/>
    <w:rsid w:val="45A100D9"/>
    <w:rsid w:val="461E0F14"/>
    <w:rsid w:val="46202199"/>
    <w:rsid w:val="46827B2C"/>
    <w:rsid w:val="46D20856"/>
    <w:rsid w:val="46ED3DDD"/>
    <w:rsid w:val="47046BE9"/>
    <w:rsid w:val="471C3F27"/>
    <w:rsid w:val="476A1570"/>
    <w:rsid w:val="47A02CC3"/>
    <w:rsid w:val="48920375"/>
    <w:rsid w:val="489750AD"/>
    <w:rsid w:val="49715C1A"/>
    <w:rsid w:val="4A080452"/>
    <w:rsid w:val="4A24796D"/>
    <w:rsid w:val="4A931969"/>
    <w:rsid w:val="4AA76A04"/>
    <w:rsid w:val="4ACF5BD5"/>
    <w:rsid w:val="4ADE2128"/>
    <w:rsid w:val="4B081065"/>
    <w:rsid w:val="4B1B0D62"/>
    <w:rsid w:val="4B6C11C5"/>
    <w:rsid w:val="4B8774F6"/>
    <w:rsid w:val="4BA018A0"/>
    <w:rsid w:val="4BB54A65"/>
    <w:rsid w:val="4BC139DF"/>
    <w:rsid w:val="4BE800A8"/>
    <w:rsid w:val="4C44475B"/>
    <w:rsid w:val="4C7F2FC7"/>
    <w:rsid w:val="4C991AEB"/>
    <w:rsid w:val="4CAF70FA"/>
    <w:rsid w:val="4CC25E2B"/>
    <w:rsid w:val="4D3C10D4"/>
    <w:rsid w:val="4D9A1270"/>
    <w:rsid w:val="4DD91163"/>
    <w:rsid w:val="4E667754"/>
    <w:rsid w:val="4E785AF9"/>
    <w:rsid w:val="4E7F4351"/>
    <w:rsid w:val="4E9C29C8"/>
    <w:rsid w:val="4F2C5E43"/>
    <w:rsid w:val="507B3EAC"/>
    <w:rsid w:val="5094042B"/>
    <w:rsid w:val="511C4D4D"/>
    <w:rsid w:val="51345A4A"/>
    <w:rsid w:val="514C1629"/>
    <w:rsid w:val="5189585B"/>
    <w:rsid w:val="51BF1C5B"/>
    <w:rsid w:val="51EF23CF"/>
    <w:rsid w:val="5228229C"/>
    <w:rsid w:val="52C6471C"/>
    <w:rsid w:val="52C75862"/>
    <w:rsid w:val="52ED2B91"/>
    <w:rsid w:val="530055EA"/>
    <w:rsid w:val="538D3F38"/>
    <w:rsid w:val="54396FE8"/>
    <w:rsid w:val="547529FC"/>
    <w:rsid w:val="548C71C6"/>
    <w:rsid w:val="54A4514F"/>
    <w:rsid w:val="553906D6"/>
    <w:rsid w:val="55A04312"/>
    <w:rsid w:val="55A95FBF"/>
    <w:rsid w:val="55EC0707"/>
    <w:rsid w:val="5606023A"/>
    <w:rsid w:val="56470C48"/>
    <w:rsid w:val="565F340C"/>
    <w:rsid w:val="56B167D6"/>
    <w:rsid w:val="56B406C1"/>
    <w:rsid w:val="56D9390C"/>
    <w:rsid w:val="573E2F05"/>
    <w:rsid w:val="57577675"/>
    <w:rsid w:val="581072D6"/>
    <w:rsid w:val="58553C62"/>
    <w:rsid w:val="58584468"/>
    <w:rsid w:val="585A3B70"/>
    <w:rsid w:val="586B3923"/>
    <w:rsid w:val="593F27F6"/>
    <w:rsid w:val="59445AF6"/>
    <w:rsid w:val="59452E2A"/>
    <w:rsid w:val="598F074C"/>
    <w:rsid w:val="59A113D7"/>
    <w:rsid w:val="59FB13E6"/>
    <w:rsid w:val="5A836DBF"/>
    <w:rsid w:val="5A9F1EF3"/>
    <w:rsid w:val="5AE6390B"/>
    <w:rsid w:val="5B0B05EE"/>
    <w:rsid w:val="5B4858B6"/>
    <w:rsid w:val="5BAB01F3"/>
    <w:rsid w:val="5BD573C4"/>
    <w:rsid w:val="5C0B30CB"/>
    <w:rsid w:val="5C7E1671"/>
    <w:rsid w:val="5C993BA4"/>
    <w:rsid w:val="5CEE36FB"/>
    <w:rsid w:val="5D5C2DED"/>
    <w:rsid w:val="5D5E40C3"/>
    <w:rsid w:val="5DA975DF"/>
    <w:rsid w:val="5DFF0A4E"/>
    <w:rsid w:val="5E0B0F30"/>
    <w:rsid w:val="5E572795"/>
    <w:rsid w:val="5EC55967"/>
    <w:rsid w:val="5EDF37B0"/>
    <w:rsid w:val="5EFC4FAE"/>
    <w:rsid w:val="5F5D61AB"/>
    <w:rsid w:val="5FC127EE"/>
    <w:rsid w:val="5FC67F7F"/>
    <w:rsid w:val="5FC72A7C"/>
    <w:rsid w:val="606652F3"/>
    <w:rsid w:val="60711F7C"/>
    <w:rsid w:val="60794DD9"/>
    <w:rsid w:val="60D84BAA"/>
    <w:rsid w:val="60F10307"/>
    <w:rsid w:val="61073EFD"/>
    <w:rsid w:val="616B6098"/>
    <w:rsid w:val="61965673"/>
    <w:rsid w:val="619930FC"/>
    <w:rsid w:val="61F66D7A"/>
    <w:rsid w:val="62D86767"/>
    <w:rsid w:val="634768BB"/>
    <w:rsid w:val="636C2141"/>
    <w:rsid w:val="63A74614"/>
    <w:rsid w:val="63E519B6"/>
    <w:rsid w:val="63F10485"/>
    <w:rsid w:val="641630FA"/>
    <w:rsid w:val="641A2B0E"/>
    <w:rsid w:val="64BC51BB"/>
    <w:rsid w:val="64D7377C"/>
    <w:rsid w:val="65371893"/>
    <w:rsid w:val="65511FC2"/>
    <w:rsid w:val="65C23CEA"/>
    <w:rsid w:val="65DD26BC"/>
    <w:rsid w:val="66AC16D0"/>
    <w:rsid w:val="66E7086C"/>
    <w:rsid w:val="675E1D06"/>
    <w:rsid w:val="67FE7D0B"/>
    <w:rsid w:val="682223A1"/>
    <w:rsid w:val="686858F0"/>
    <w:rsid w:val="68A01117"/>
    <w:rsid w:val="69022731"/>
    <w:rsid w:val="69BE4912"/>
    <w:rsid w:val="6A083CE9"/>
    <w:rsid w:val="6A705FAC"/>
    <w:rsid w:val="6AF71390"/>
    <w:rsid w:val="6BC50FCC"/>
    <w:rsid w:val="6C6C35BB"/>
    <w:rsid w:val="6CD53279"/>
    <w:rsid w:val="6DED7920"/>
    <w:rsid w:val="6F0076C4"/>
    <w:rsid w:val="6F217B91"/>
    <w:rsid w:val="6F880A7C"/>
    <w:rsid w:val="6FB768B3"/>
    <w:rsid w:val="6FBA7C49"/>
    <w:rsid w:val="6FC66DBE"/>
    <w:rsid w:val="70067E3B"/>
    <w:rsid w:val="703C6A8D"/>
    <w:rsid w:val="70E06F6C"/>
    <w:rsid w:val="71371C7F"/>
    <w:rsid w:val="71423819"/>
    <w:rsid w:val="71771431"/>
    <w:rsid w:val="71A54936"/>
    <w:rsid w:val="72624021"/>
    <w:rsid w:val="731F659A"/>
    <w:rsid w:val="733C6946"/>
    <w:rsid w:val="73C45ED5"/>
    <w:rsid w:val="740318A7"/>
    <w:rsid w:val="74DF783C"/>
    <w:rsid w:val="752A6F04"/>
    <w:rsid w:val="75407BEB"/>
    <w:rsid w:val="75B22B2A"/>
    <w:rsid w:val="75CA54B0"/>
    <w:rsid w:val="76096D0E"/>
    <w:rsid w:val="761F7F19"/>
    <w:rsid w:val="766E3C80"/>
    <w:rsid w:val="78252B09"/>
    <w:rsid w:val="78437247"/>
    <w:rsid w:val="786B78DC"/>
    <w:rsid w:val="78AB664F"/>
    <w:rsid w:val="791E4B27"/>
    <w:rsid w:val="792E7E07"/>
    <w:rsid w:val="79513A3A"/>
    <w:rsid w:val="79525F93"/>
    <w:rsid w:val="79766679"/>
    <w:rsid w:val="798B1141"/>
    <w:rsid w:val="7A6E3869"/>
    <w:rsid w:val="7AC50E70"/>
    <w:rsid w:val="7AD27F80"/>
    <w:rsid w:val="7B0A1B64"/>
    <w:rsid w:val="7B8D40A8"/>
    <w:rsid w:val="7BB53C31"/>
    <w:rsid w:val="7C0A2225"/>
    <w:rsid w:val="7C241F73"/>
    <w:rsid w:val="7C5B3C69"/>
    <w:rsid w:val="7C682145"/>
    <w:rsid w:val="7CC708D7"/>
    <w:rsid w:val="7DBE45ED"/>
    <w:rsid w:val="7E1063E2"/>
    <w:rsid w:val="7E117417"/>
    <w:rsid w:val="7E1B3167"/>
    <w:rsid w:val="7E253EA8"/>
    <w:rsid w:val="7E2B05A5"/>
    <w:rsid w:val="7EC670E7"/>
    <w:rsid w:val="7F193C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2"/>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List Number"/>
    <w:basedOn w:val="1"/>
    <w:qFormat/>
    <w:uiPriority w:val="0"/>
    <w:rPr>
      <w:rFonts w:ascii="Times New Roman" w:hAnsi="Times New Roman" w:eastAsia="宋体"/>
      <w:smallCaps/>
      <w:sz w:val="28"/>
      <w:szCs w:val="24"/>
    </w:rPr>
  </w:style>
  <w:style w:type="paragraph" w:styleId="7">
    <w:name w:val="toa heading"/>
    <w:basedOn w:val="1"/>
    <w:next w:val="1"/>
    <w:qFormat/>
    <w:uiPriority w:val="0"/>
    <w:rPr>
      <w:rFonts w:ascii="Arial" w:hAnsi="Arial" w:eastAsia="宋体" w:cs="Times New Roman"/>
      <w:sz w:val="24"/>
      <w:szCs w:val="24"/>
    </w:rPr>
  </w:style>
  <w:style w:type="paragraph" w:styleId="8">
    <w:name w:val="Body Text"/>
    <w:basedOn w:val="1"/>
    <w:link w:val="55"/>
    <w:qFormat/>
    <w:uiPriority w:val="0"/>
    <w:pPr>
      <w:spacing w:line="0" w:lineRule="atLeast"/>
    </w:pPr>
    <w:rPr>
      <w:rFonts w:eastAsia="小标宋" w:cs="Times New Roman"/>
      <w:sz w:val="44"/>
      <w:szCs w:val="32"/>
    </w:rPr>
  </w:style>
  <w:style w:type="paragraph" w:styleId="9">
    <w:name w:val="Body Text Indent"/>
    <w:basedOn w:val="1"/>
    <w:link w:val="57"/>
    <w:unhideWhenUsed/>
    <w:qFormat/>
    <w:uiPriority w:val="99"/>
    <w:pPr>
      <w:spacing w:after="120"/>
      <w:ind w:left="420" w:leftChars="200"/>
    </w:pPr>
  </w:style>
  <w:style w:type="paragraph" w:styleId="10">
    <w:name w:val="Plain Text"/>
    <w:basedOn w:val="1"/>
    <w:link w:val="47"/>
    <w:qFormat/>
    <w:uiPriority w:val="0"/>
    <w:rPr>
      <w:rFonts w:hAnsi="Courier New"/>
      <w:sz w:val="24"/>
      <w:szCs w:val="24"/>
    </w:rPr>
  </w:style>
  <w:style w:type="paragraph" w:styleId="11">
    <w:name w:val="Date"/>
    <w:basedOn w:val="1"/>
    <w:next w:val="1"/>
    <w:qFormat/>
    <w:uiPriority w:val="0"/>
    <w:pPr>
      <w:ind w:left="100" w:leftChars="2500"/>
    </w:pPr>
  </w:style>
  <w:style w:type="paragraph" w:styleId="12">
    <w:name w:val="Body Text Indent 2"/>
    <w:basedOn w:val="1"/>
    <w:qFormat/>
    <w:uiPriority w:val="0"/>
    <w:pPr>
      <w:ind w:firstLine="630"/>
    </w:pPr>
    <w:rPr>
      <w:b/>
      <w:bCs/>
      <w:szCs w:val="32"/>
    </w:rPr>
  </w:style>
  <w:style w:type="paragraph" w:styleId="13">
    <w:name w:val="footer"/>
    <w:basedOn w:val="1"/>
    <w:link w:val="48"/>
    <w:unhideWhenUsed/>
    <w:qFormat/>
    <w:uiPriority w:val="0"/>
    <w:pPr>
      <w:tabs>
        <w:tab w:val="center" w:pos="4153"/>
        <w:tab w:val="right" w:pos="8306"/>
      </w:tabs>
      <w:snapToGrid w:val="0"/>
      <w:jc w:val="left"/>
    </w:pPr>
    <w:rPr>
      <w:sz w:val="18"/>
      <w:szCs w:val="18"/>
    </w:rPr>
  </w:style>
  <w:style w:type="paragraph" w:styleId="14">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index 9"/>
    <w:basedOn w:val="1"/>
    <w:next w:val="1"/>
    <w:semiHidden/>
    <w:qFormat/>
    <w:uiPriority w:val="0"/>
    <w:pPr>
      <w:ind w:left="1600" w:leftChars="1600"/>
    </w:pPr>
  </w:style>
  <w:style w:type="paragraph" w:styleId="17">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8">
    <w:name w:val="Title"/>
    <w:basedOn w:val="1"/>
    <w:next w:val="1"/>
    <w:qFormat/>
    <w:uiPriority w:val="10"/>
    <w:pPr>
      <w:snapToGrid/>
      <w:spacing w:line="0" w:lineRule="atLeast"/>
      <w:ind w:firstLine="0"/>
      <w:jc w:val="center"/>
      <w:outlineLvl w:val="0"/>
    </w:pPr>
    <w:rPr>
      <w:rFonts w:ascii="等线 Light" w:hAnsi="等线 Light" w:eastAsia="方正小标宋简体" w:cs="黑体"/>
      <w:b/>
      <w:bCs/>
      <w:sz w:val="44"/>
      <w:szCs w:val="32"/>
    </w:rPr>
  </w:style>
  <w:style w:type="paragraph" w:styleId="19">
    <w:name w:val="Body Text First Indent 2"/>
    <w:basedOn w:val="9"/>
    <w:qFormat/>
    <w:uiPriority w:val="0"/>
    <w:pPr>
      <w:ind w:firstLine="420"/>
    </w:pPr>
    <w:rPr>
      <w:kern w:val="0"/>
      <w:sz w:val="20"/>
      <w:szCs w:val="20"/>
    </w:rPr>
  </w:style>
  <w:style w:type="table" w:styleId="21">
    <w:name w:val="Table Grid"/>
    <w:basedOn w:val="2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rFonts w:eastAsia="宋体"/>
      <w:iCs/>
      <w:sz w:val="21"/>
    </w:rPr>
  </w:style>
  <w:style w:type="paragraph" w:customStyle="1" w:styleId="26">
    <w:name w:val="Heading1"/>
    <w:next w:val="1"/>
    <w:qFormat/>
    <w:uiPriority w:val="0"/>
    <w:pPr>
      <w:spacing w:before="100" w:beforeAutospacing="1" w:after="100" w:afterAutospacing="1"/>
      <w:textAlignment w:val="baseline"/>
    </w:pPr>
    <w:rPr>
      <w:rFonts w:ascii="宋体" w:hAnsi="宋体" w:eastAsia="宋体" w:cs="Times New Roman"/>
      <w:b/>
      <w:kern w:val="44"/>
      <w:sz w:val="48"/>
      <w:szCs w:val="48"/>
      <w:lang w:val="en-US" w:eastAsia="zh-CN" w:bidi="ar-SA"/>
    </w:rPr>
  </w:style>
  <w:style w:type="paragraph" w:customStyle="1" w:styleId="27">
    <w:name w:val="Table Paragraph"/>
    <w:basedOn w:val="1"/>
    <w:qFormat/>
    <w:uiPriority w:val="1"/>
    <w:pPr>
      <w:jc w:val="left"/>
    </w:pPr>
    <w:rPr>
      <w:kern w:val="0"/>
      <w:sz w:val="22"/>
      <w:lang w:eastAsia="en-US"/>
    </w:rPr>
  </w:style>
  <w:style w:type="paragraph" w:customStyle="1" w:styleId="28">
    <w:name w:val="CM6"/>
    <w:basedOn w:val="29"/>
    <w:next w:val="29"/>
    <w:qFormat/>
    <w:uiPriority w:val="99"/>
    <w:pPr>
      <w:spacing w:line="491" w:lineRule="atLeast"/>
    </w:pPr>
    <w:rPr>
      <w:rFonts w:ascii="方正粗宋简体" w:hAnsi="Calibri" w:eastAsia="方正粗宋简体" w:cs="Times New Roman"/>
      <w:color w:val="auto"/>
    </w:rPr>
  </w:style>
  <w:style w:type="paragraph" w:customStyle="1" w:styleId="29">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0">
    <w:name w:val="无间隔"/>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31">
    <w:name w:val="CM5"/>
    <w:basedOn w:val="29"/>
    <w:next w:val="29"/>
    <w:qFormat/>
    <w:uiPriority w:val="99"/>
    <w:pPr>
      <w:spacing w:line="491" w:lineRule="atLeast"/>
    </w:pPr>
    <w:rPr>
      <w:rFonts w:ascii="方正粗宋简体" w:hAnsi="Calibri" w:eastAsia="方正粗宋简体" w:cs="Times New Roman"/>
      <w:color w:val="auto"/>
    </w:rPr>
  </w:style>
  <w:style w:type="paragraph" w:customStyle="1" w:styleId="32">
    <w:name w:val="CM12"/>
    <w:basedOn w:val="29"/>
    <w:next w:val="29"/>
    <w:qFormat/>
    <w:uiPriority w:val="99"/>
    <w:pPr>
      <w:spacing w:line="491" w:lineRule="atLeast"/>
    </w:pPr>
    <w:rPr>
      <w:rFonts w:ascii="方正粗宋简体" w:hAnsi="Calibri" w:eastAsia="方正粗宋简体" w:cs="Times New Roman"/>
      <w:color w:val="auto"/>
    </w:rPr>
  </w:style>
  <w:style w:type="paragraph" w:customStyle="1" w:styleId="33">
    <w:name w:val="p0"/>
    <w:basedOn w:val="1"/>
    <w:qFormat/>
    <w:uiPriority w:val="0"/>
    <w:pPr>
      <w:widowControl/>
    </w:pPr>
    <w:rPr>
      <w:rFonts w:hint="eastAsia" w:ascii="Times New Roman" w:hAnsi="Times New Roman"/>
      <w:szCs w:val="32"/>
    </w:rPr>
  </w:style>
  <w:style w:type="paragraph" w:styleId="34">
    <w:name w:val="List Paragraph"/>
    <w:basedOn w:val="1"/>
    <w:unhideWhenUsed/>
    <w:qFormat/>
    <w:uiPriority w:val="99"/>
    <w:pPr>
      <w:ind w:firstLine="420" w:firstLineChars="200"/>
    </w:pPr>
  </w:style>
  <w:style w:type="paragraph" w:customStyle="1" w:styleId="35">
    <w:name w:val="CM8"/>
    <w:basedOn w:val="29"/>
    <w:next w:val="29"/>
    <w:qFormat/>
    <w:uiPriority w:val="99"/>
    <w:pPr>
      <w:spacing w:line="491" w:lineRule="atLeast"/>
    </w:pPr>
    <w:rPr>
      <w:rFonts w:ascii="方正粗宋简体" w:hAnsi="Calibri" w:eastAsia="方正粗宋简体" w:cs="Times New Roman"/>
      <w:color w:val="auto"/>
    </w:rPr>
  </w:style>
  <w:style w:type="paragraph" w:customStyle="1" w:styleId="36">
    <w:name w:val="_Style 0"/>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3"/>
    <w:basedOn w:val="1"/>
    <w:link w:val="58"/>
    <w:qFormat/>
    <w:uiPriority w:val="0"/>
    <w:pPr>
      <w:ind w:firstLine="200" w:firstLineChars="200"/>
    </w:pPr>
    <w:rPr>
      <w:rFonts w:eastAsia="Times New Roman"/>
      <w:b/>
      <w:sz w:val="24"/>
      <w:szCs w:val="24"/>
    </w:rPr>
  </w:style>
  <w:style w:type="paragraph" w:customStyle="1" w:styleId="38">
    <w:name w:val="样式 标题 1 +"/>
    <w:basedOn w:val="3"/>
    <w:qFormat/>
    <w:uiPriority w:val="0"/>
    <w:pPr>
      <w:tabs>
        <w:tab w:val="left" w:pos="1800"/>
      </w:tabs>
    </w:pPr>
    <w:rPr>
      <w:rFonts w:ascii="Times New Roman" w:hAnsi="Times New Roman" w:eastAsia="宋体"/>
      <w:kern w:val="2"/>
    </w:rPr>
  </w:style>
  <w:style w:type="paragraph" w:customStyle="1" w:styleId="39">
    <w:name w:val="无间隔1"/>
    <w:basedOn w:val="1"/>
    <w:qFormat/>
    <w:uiPriority w:val="1"/>
    <w:pPr>
      <w:spacing w:line="560" w:lineRule="exact"/>
      <w:jc w:val="left"/>
    </w:pPr>
    <w:rPr>
      <w:rFonts w:ascii="黑体" w:eastAsia="黑体"/>
      <w:szCs w:val="32"/>
    </w:rPr>
  </w:style>
  <w:style w:type="paragraph" w:customStyle="1" w:styleId="40">
    <w:name w:val="CM4"/>
    <w:basedOn w:val="29"/>
    <w:next w:val="29"/>
    <w:qFormat/>
    <w:uiPriority w:val="99"/>
    <w:pPr>
      <w:spacing w:line="491" w:lineRule="atLeast"/>
    </w:pPr>
    <w:rPr>
      <w:rFonts w:ascii="方正粗宋简体" w:hAnsi="Calibri" w:eastAsia="方正粗宋简体" w:cs="Times New Roman"/>
      <w:color w:val="auto"/>
    </w:rPr>
  </w:style>
  <w:style w:type="paragraph" w:customStyle="1" w:styleId="41">
    <w:name w:val="p18"/>
    <w:basedOn w:val="1"/>
    <w:qFormat/>
    <w:uiPriority w:val="0"/>
    <w:pPr>
      <w:widowControl/>
      <w:spacing w:before="100" w:beforeAutospacing="1" w:after="100" w:afterAutospacing="1"/>
      <w:jc w:val="left"/>
    </w:pPr>
    <w:rPr>
      <w:rFonts w:eastAsia="宋体" w:cs="宋体"/>
      <w:kern w:val="0"/>
      <w:sz w:val="24"/>
      <w:szCs w:val="24"/>
    </w:rPr>
  </w:style>
  <w:style w:type="paragraph" w:customStyle="1" w:styleId="42">
    <w:name w:val="列出段落"/>
    <w:basedOn w:val="1"/>
    <w:qFormat/>
    <w:uiPriority w:val="34"/>
    <w:pPr>
      <w:ind w:firstLine="420" w:firstLineChars="200"/>
    </w:pPr>
  </w:style>
  <w:style w:type="paragraph" w:customStyle="1" w:styleId="43">
    <w:name w:val="_Style 4"/>
    <w:basedOn w:val="1"/>
    <w:qFormat/>
    <w:uiPriority w:val="0"/>
    <w:rPr>
      <w:rFonts w:ascii="Times New Roman" w:hAnsi="Times New Roman"/>
      <w:szCs w:val="32"/>
    </w:rPr>
  </w:style>
  <w:style w:type="paragraph" w:customStyle="1" w:styleId="44">
    <w:name w:val="CM3"/>
    <w:basedOn w:val="29"/>
    <w:next w:val="29"/>
    <w:qFormat/>
    <w:uiPriority w:val="0"/>
    <w:pPr>
      <w:spacing w:line="560" w:lineRule="atLeast"/>
    </w:pPr>
    <w:rPr>
      <w:color w:val="auto"/>
    </w:rPr>
  </w:style>
  <w:style w:type="paragraph" w:customStyle="1" w:styleId="45">
    <w:name w:val="CM2"/>
    <w:basedOn w:val="29"/>
    <w:next w:val="29"/>
    <w:qFormat/>
    <w:uiPriority w:val="0"/>
    <w:pPr>
      <w:spacing w:line="560" w:lineRule="atLeast"/>
    </w:pPr>
    <w:rPr>
      <w:color w:val="auto"/>
    </w:rPr>
  </w:style>
  <w:style w:type="character" w:customStyle="1" w:styleId="46">
    <w:name w:val=" Char Char"/>
    <w:basedOn w:val="22"/>
    <w:link w:val="10"/>
    <w:qFormat/>
    <w:uiPriority w:val="0"/>
    <w:rPr>
      <w:rFonts w:ascii="宋体" w:hAnsi="Courier New" w:eastAsia="仿宋_GB2312"/>
      <w:kern w:val="2"/>
      <w:sz w:val="24"/>
      <w:szCs w:val="24"/>
    </w:rPr>
  </w:style>
  <w:style w:type="character" w:customStyle="1" w:styleId="47">
    <w:name w:val="纯文本 Char1"/>
    <w:basedOn w:val="22"/>
    <w:link w:val="10"/>
    <w:semiHidden/>
    <w:qFormat/>
    <w:uiPriority w:val="99"/>
    <w:rPr>
      <w:rFonts w:ascii="宋体" w:hAnsi="Courier New" w:cs="Courier New"/>
      <w:kern w:val="2"/>
      <w:sz w:val="21"/>
      <w:szCs w:val="21"/>
    </w:rPr>
  </w:style>
  <w:style w:type="character" w:customStyle="1" w:styleId="48">
    <w:name w:val=" Char Char3"/>
    <w:basedOn w:val="22"/>
    <w:link w:val="13"/>
    <w:qFormat/>
    <w:uiPriority w:val="99"/>
    <w:rPr>
      <w:rFonts w:ascii="宋体" w:hAnsi="宋体" w:eastAsia="方正仿宋简体"/>
      <w:sz w:val="18"/>
      <w:szCs w:val="18"/>
    </w:rPr>
  </w:style>
  <w:style w:type="character" w:customStyle="1" w:styleId="49">
    <w:name w:val="font61"/>
    <w:basedOn w:val="22"/>
    <w:qFormat/>
    <w:uiPriority w:val="0"/>
    <w:rPr>
      <w:rFonts w:hint="eastAsia" w:ascii="仿宋_GB2312" w:eastAsia="仿宋_GB2312" w:cs="仿宋_GB2312"/>
      <w:color w:val="000000"/>
      <w:sz w:val="28"/>
      <w:szCs w:val="28"/>
      <w:u w:val="none"/>
    </w:rPr>
  </w:style>
  <w:style w:type="character" w:customStyle="1" w:styleId="50">
    <w:name w:val=" Char Char6"/>
    <w:basedOn w:val="22"/>
    <w:link w:val="3"/>
    <w:qFormat/>
    <w:uiPriority w:val="9"/>
    <w:rPr>
      <w:rFonts w:ascii="宋体" w:hAnsi="宋体" w:eastAsia="仿宋_GB2312"/>
      <w:b/>
      <w:bCs/>
      <w:kern w:val="44"/>
      <w:sz w:val="44"/>
      <w:szCs w:val="44"/>
    </w:rPr>
  </w:style>
  <w:style w:type="character" w:customStyle="1" w:styleId="51">
    <w:name w:val="font21"/>
    <w:basedOn w:val="22"/>
    <w:qFormat/>
    <w:uiPriority w:val="0"/>
    <w:rPr>
      <w:rFonts w:hint="eastAsia" w:ascii="黑体" w:hAnsi="宋体" w:eastAsia="黑体" w:cs="黑体"/>
      <w:color w:val="000000"/>
      <w:sz w:val="36"/>
      <w:szCs w:val="36"/>
      <w:u w:val="none"/>
    </w:rPr>
  </w:style>
  <w:style w:type="character" w:customStyle="1" w:styleId="52">
    <w:name w:val="font31"/>
    <w:basedOn w:val="22"/>
    <w:qFormat/>
    <w:uiPriority w:val="0"/>
    <w:rPr>
      <w:rFonts w:hint="eastAsia" w:ascii="仿宋_GB2312" w:eastAsia="仿宋_GB2312" w:cs="仿宋_GB2312"/>
      <w:color w:val="000000"/>
      <w:sz w:val="36"/>
      <w:szCs w:val="36"/>
      <w:u w:val="none"/>
    </w:rPr>
  </w:style>
  <w:style w:type="character" w:customStyle="1" w:styleId="53">
    <w:name w:val=" Char Char5"/>
    <w:basedOn w:val="22"/>
    <w:link w:val="4"/>
    <w:qFormat/>
    <w:uiPriority w:val="0"/>
    <w:rPr>
      <w:rFonts w:ascii="Arial" w:hAnsi="Arial" w:eastAsia="黑体"/>
      <w:b/>
      <w:bCs/>
      <w:kern w:val="2"/>
      <w:sz w:val="32"/>
      <w:szCs w:val="32"/>
    </w:rPr>
  </w:style>
  <w:style w:type="character" w:customStyle="1" w:styleId="54">
    <w:name w:val="新闻内容"/>
    <w:basedOn w:val="22"/>
    <w:qFormat/>
    <w:uiPriority w:val="0"/>
  </w:style>
  <w:style w:type="character" w:customStyle="1" w:styleId="55">
    <w:name w:val=" Char Char1"/>
    <w:basedOn w:val="22"/>
    <w:link w:val="8"/>
    <w:qFormat/>
    <w:uiPriority w:val="0"/>
    <w:rPr>
      <w:rFonts w:ascii="宋体" w:hAnsi="宋体" w:eastAsia="小标宋" w:cs="Times New Roman"/>
      <w:sz w:val="44"/>
      <w:szCs w:val="32"/>
    </w:rPr>
  </w:style>
  <w:style w:type="character" w:customStyle="1" w:styleId="56">
    <w:name w:val="font01"/>
    <w:basedOn w:val="22"/>
    <w:qFormat/>
    <w:uiPriority w:val="0"/>
    <w:rPr>
      <w:rFonts w:hint="eastAsia" w:ascii="仿宋_GB2312" w:eastAsia="仿宋_GB2312" w:cs="仿宋_GB2312"/>
      <w:color w:val="000000"/>
      <w:sz w:val="36"/>
      <w:szCs w:val="36"/>
      <w:u w:val="none"/>
    </w:rPr>
  </w:style>
  <w:style w:type="character" w:customStyle="1" w:styleId="57">
    <w:name w:val=" Char Char4"/>
    <w:basedOn w:val="22"/>
    <w:link w:val="9"/>
    <w:semiHidden/>
    <w:qFormat/>
    <w:uiPriority w:val="99"/>
    <w:rPr>
      <w:rFonts w:ascii="宋体" w:hAnsi="宋体" w:eastAsia="仿宋_GB2312"/>
      <w:kern w:val="2"/>
      <w:sz w:val="32"/>
      <w:szCs w:val="22"/>
    </w:rPr>
  </w:style>
  <w:style w:type="character" w:customStyle="1" w:styleId="58">
    <w:name w:val="3 Char"/>
    <w:basedOn w:val="22"/>
    <w:link w:val="37"/>
    <w:qFormat/>
    <w:locked/>
    <w:uiPriority w:val="0"/>
    <w:rPr>
      <w:rFonts w:ascii="宋体" w:hAnsi="宋体"/>
      <w:b/>
      <w:kern w:val="2"/>
      <w:sz w:val="24"/>
      <w:szCs w:val="24"/>
      <w:lang w:bidi="ar-SA"/>
    </w:rPr>
  </w:style>
  <w:style w:type="character" w:customStyle="1" w:styleId="59">
    <w:name w:val="font41"/>
    <w:basedOn w:val="22"/>
    <w:qFormat/>
    <w:uiPriority w:val="0"/>
    <w:rPr>
      <w:rFonts w:hint="eastAsia" w:ascii="仿宋_GB2312" w:eastAsia="仿宋_GB2312" w:cs="仿宋_GB2312"/>
      <w:b/>
      <w:bCs/>
      <w:color w:val="000000"/>
      <w:sz w:val="36"/>
      <w:szCs w:val="36"/>
      <w:u w:val="none"/>
    </w:rPr>
  </w:style>
  <w:style w:type="character" w:customStyle="1" w:styleId="60">
    <w:name w:val="font51"/>
    <w:basedOn w:val="22"/>
    <w:qFormat/>
    <w:uiPriority w:val="0"/>
    <w:rPr>
      <w:rFonts w:hint="eastAsia" w:ascii="仿宋_GB2312" w:eastAsia="仿宋_GB2312" w:cs="仿宋_GB2312"/>
      <w:color w:val="000000"/>
      <w:sz w:val="36"/>
      <w:szCs w:val="36"/>
      <w:u w:val="none"/>
    </w:rPr>
  </w:style>
  <w:style w:type="character" w:customStyle="1" w:styleId="61">
    <w:name w:val=" Char Char2"/>
    <w:basedOn w:val="22"/>
    <w:link w:val="14"/>
    <w:semiHidden/>
    <w:qFormat/>
    <w:uiPriority w:val="99"/>
    <w:rPr>
      <w:rFonts w:ascii="宋体" w:hAnsi="宋体" w:eastAsia="方正仿宋简体"/>
      <w:sz w:val="18"/>
      <w:szCs w:val="18"/>
    </w:rPr>
  </w:style>
  <w:style w:type="paragraph" w:customStyle="1" w:styleId="62">
    <w:name w:val="样式 预案-正文 + 首行缩进:  2 字符"/>
    <w:basedOn w:val="1"/>
    <w:qFormat/>
    <w:uiPriority w:val="0"/>
    <w:pPr>
      <w:ind w:firstLine="549" w:firstLineChars="200"/>
    </w:pPr>
    <w:rPr>
      <w:rFonts w:ascii="仿宋_GB2312" w:hAnsi="宋体" w:eastAsia="仿宋_GB2312" w:cs="宋体"/>
      <w:sz w:val="28"/>
      <w:szCs w:val="28"/>
    </w:rPr>
  </w:style>
  <w:style w:type="character" w:customStyle="1" w:styleId="63">
    <w:name w:val="font11"/>
    <w:basedOn w:val="22"/>
    <w:qFormat/>
    <w:uiPriority w:val="0"/>
    <w:rPr>
      <w:rFonts w:hint="eastAsia" w:ascii="黑体" w:hAnsi="宋体" w:eastAsia="黑体" w:cs="黑体"/>
      <w:color w:val="000000"/>
      <w:sz w:val="24"/>
      <w:szCs w:val="24"/>
      <w:u w:val="none"/>
    </w:rPr>
  </w:style>
  <w:style w:type="character" w:customStyle="1" w:styleId="64">
    <w:name w:val="font71"/>
    <w:basedOn w:val="22"/>
    <w:qFormat/>
    <w:uiPriority w:val="0"/>
    <w:rPr>
      <w:rFonts w:ascii="方正小标宋简体" w:hAnsi="方正小标宋简体" w:eastAsia="方正小标宋简体" w:cs="方正小标宋简体"/>
      <w:color w:val="000000"/>
      <w:sz w:val="40"/>
      <w:szCs w:val="40"/>
      <w:u w:val="none"/>
    </w:rPr>
  </w:style>
  <w:style w:type="character" w:customStyle="1" w:styleId="65">
    <w:name w:val="正文内容格式 字符"/>
    <w:link w:val="66"/>
    <w:qFormat/>
    <w:locked/>
    <w:uiPriority w:val="99"/>
    <w:rPr>
      <w:rFonts w:ascii="Calibri"/>
      <w:kern w:val="0"/>
      <w:sz w:val="20"/>
      <w:szCs w:val="20"/>
    </w:rPr>
  </w:style>
  <w:style w:type="paragraph" w:customStyle="1" w:styleId="66">
    <w:name w:val="正文内容格式"/>
    <w:basedOn w:val="1"/>
    <w:link w:val="65"/>
    <w:qFormat/>
    <w:uiPriority w:val="99"/>
    <w:pPr>
      <w:spacing w:line="560" w:lineRule="exact"/>
      <w:ind w:firstLine="640" w:firstLineChars="200"/>
    </w:pPr>
    <w:rPr>
      <w:rFonts w:ascii="Calibri"/>
      <w:kern w:val="0"/>
      <w:sz w:val="20"/>
      <w:szCs w:val="20"/>
    </w:rPr>
  </w:style>
  <w:style w:type="paragraph" w:customStyle="1" w:styleId="67">
    <w:name w:val="引文目录1"/>
    <w:basedOn w:val="1"/>
    <w:next w:val="1"/>
    <w:qFormat/>
    <w:uiPriority w:val="0"/>
    <w:pPr>
      <w:ind w:left="420" w:leftChars="200"/>
    </w:pPr>
    <w:rPr>
      <w:rFonts w:ascii="Calibri" w:hAnsi="Calibri" w:cs="黑体"/>
      <w:szCs w:val="24"/>
    </w:rPr>
  </w:style>
  <w:style w:type="paragraph" w:customStyle="1" w:styleId="68">
    <w:name w:val="Table of Authorities1"/>
    <w:basedOn w:val="1"/>
    <w:next w:val="1"/>
    <w:qFormat/>
    <w:uiPriority w:val="99"/>
    <w:pPr>
      <w:ind w:left="420" w:leftChars="200"/>
    </w:pPr>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20</Pages>
  <Words>7843</Words>
  <Characters>8239</Characters>
  <Lines>676</Lines>
  <Paragraphs>190</Paragraphs>
  <TotalTime>3</TotalTime>
  <ScaleCrop>false</ScaleCrop>
  <LinksUpToDate>false</LinksUpToDate>
  <CharactersWithSpaces>8289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2015-07-24T09:20:00Z</dcterms:created>
  <dc:creator>Administrator</dc:creator>
  <cp:lastModifiedBy>Administrator</cp:lastModifiedBy>
  <cp:lastPrinted>2024-02-02T03:44:00Z</cp:lastPrinted>
  <dcterms:modified xsi:type="dcterms:W3CDTF">2024-07-11T06:30:57Z</dcterms:modified>
  <dc:title>目  录</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B1BEB0B2FB04416CADC17898EAE3B569</vt:lpwstr>
  </property>
</Properties>
</file>